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56" w:rsidRPr="001C6106" w:rsidRDefault="009E5356" w:rsidP="009E5356">
      <w:pPr>
        <w:jc w:val="center"/>
        <w:rPr>
          <w:rFonts w:eastAsia="Times New Roman"/>
          <w:sz w:val="36"/>
          <w:szCs w:val="36"/>
        </w:rPr>
      </w:pPr>
      <w:r w:rsidRPr="001C6106">
        <w:rPr>
          <w:rFonts w:eastAsia="Times New Roman"/>
          <w:b/>
          <w:bCs/>
          <w:sz w:val="36"/>
          <w:szCs w:val="36"/>
        </w:rPr>
        <w:t>MoDOT’s Work Zone Impact Analysis Spreadsheet with HCM 2010 Program Directions</w:t>
      </w:r>
    </w:p>
    <w:p w:rsidR="009E5356" w:rsidRDefault="009E5356" w:rsidP="00B02251">
      <w:pPr>
        <w:jc w:val="center"/>
        <w:rPr>
          <w:rFonts w:eastAsia="Times New Roman"/>
          <w:b/>
          <w:bCs/>
          <w:sz w:val="28"/>
          <w:szCs w:val="28"/>
        </w:rPr>
      </w:pPr>
    </w:p>
    <w:p w:rsidR="00ED707F" w:rsidRDefault="009C341F" w:rsidP="00ED707F">
      <w:pPr>
        <w:pStyle w:val="Default"/>
      </w:pPr>
      <w:r>
        <w:t xml:space="preserve">The following steps will describe the process of running the </w:t>
      </w:r>
      <w:r w:rsidR="00087BFD">
        <w:t xml:space="preserve">capacity </w:t>
      </w:r>
      <w:r>
        <w:t xml:space="preserve">program and review the output information (located in Excel worksheet titled </w:t>
      </w:r>
      <w:r w:rsidR="00ED707F" w:rsidRPr="00ED707F">
        <w:rPr>
          <w:i/>
        </w:rPr>
        <w:t>HCM 2010 Program</w:t>
      </w:r>
      <w:r>
        <w:t xml:space="preserve">). </w:t>
      </w:r>
      <w:r w:rsidR="00087BFD">
        <w:t xml:space="preserve">The </w:t>
      </w:r>
      <w:r w:rsidR="00ED707F" w:rsidRPr="00ED707F">
        <w:rPr>
          <w:i/>
        </w:rPr>
        <w:t>Total Capacity for Spreadsheet</w:t>
      </w:r>
      <w:r w:rsidR="00087BFD">
        <w:t xml:space="preserve"> </w:t>
      </w:r>
      <w:r w:rsidR="005E3426">
        <w:t xml:space="preserve">capacity </w:t>
      </w:r>
      <w:r w:rsidR="00087BFD">
        <w:t xml:space="preserve">is entered in the </w:t>
      </w:r>
      <w:r w:rsidR="00ED707F" w:rsidRPr="00ED707F">
        <w:rPr>
          <w:rFonts w:eastAsia="Times New Roman"/>
          <w:bCs/>
          <w:i/>
        </w:rPr>
        <w:t>MoDOT’s Work Zone Impact Analysis Spreadsheet</w:t>
      </w:r>
      <w:r w:rsidR="00087BFD">
        <w:rPr>
          <w:rFonts w:eastAsia="Times New Roman"/>
          <w:bCs/>
        </w:rPr>
        <w:t>.</w:t>
      </w:r>
    </w:p>
    <w:p w:rsidR="00ED707F" w:rsidRDefault="00ED707F" w:rsidP="00ED707F">
      <w:pPr>
        <w:pStyle w:val="Default"/>
      </w:pPr>
    </w:p>
    <w:p w:rsidR="00ED707F" w:rsidRDefault="005E3426" w:rsidP="00ED707F">
      <w:r>
        <w:rPr>
          <w:rFonts w:eastAsia="Times New Roman"/>
          <w:b/>
          <w:bCs/>
          <w:sz w:val="28"/>
          <w:szCs w:val="28"/>
        </w:rPr>
        <w:t>Highway Capacity Manual 2010 Program</w:t>
      </w:r>
    </w:p>
    <w:tbl>
      <w:tblPr>
        <w:tblW w:w="11178" w:type="dxa"/>
        <w:tblInd w:w="93" w:type="dxa"/>
        <w:tblLook w:val="04A0"/>
      </w:tblPr>
      <w:tblGrid>
        <w:gridCol w:w="1927"/>
        <w:gridCol w:w="1060"/>
        <w:gridCol w:w="1120"/>
        <w:gridCol w:w="1060"/>
        <w:gridCol w:w="1150"/>
        <w:gridCol w:w="1104"/>
        <w:gridCol w:w="1206"/>
        <w:gridCol w:w="1200"/>
        <w:gridCol w:w="1351"/>
      </w:tblGrid>
      <w:tr w:rsidR="00AA00F3" w:rsidRPr="00AA00F3" w:rsidTr="00307B6D">
        <w:trPr>
          <w:trHeight w:val="1320"/>
        </w:trPr>
        <w:tc>
          <w:tcPr>
            <w:tcW w:w="1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Work Location</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Travel Lane Width (ft)</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Capacity of Work Zone Before Trucks (pc/h/</w:t>
            </w:r>
            <w:proofErr w:type="spellStart"/>
            <w:r w:rsidRPr="00AA00F3">
              <w:rPr>
                <w:rFonts w:eastAsia="Times New Roman"/>
                <w:sz w:val="20"/>
                <w:szCs w:val="20"/>
              </w:rPr>
              <w:t>ln</w:t>
            </w:r>
            <w:proofErr w:type="spellEnd"/>
            <w:r w:rsidRPr="00AA00F3">
              <w:rPr>
                <w:rFonts w:eastAsia="Times New Roman"/>
                <w:sz w:val="20"/>
                <w:szCs w:val="20"/>
              </w:rPr>
              <w:t>)</w:t>
            </w:r>
          </w:p>
        </w:tc>
        <w:tc>
          <w:tcPr>
            <w:tcW w:w="1060" w:type="dxa"/>
            <w:tcBorders>
              <w:top w:val="single" w:sz="4" w:space="0" w:color="auto"/>
              <w:left w:val="nil"/>
              <w:bottom w:val="single" w:sz="4" w:space="0" w:color="auto"/>
              <w:right w:val="single" w:sz="4" w:space="0" w:color="auto"/>
            </w:tcBorders>
            <w:shd w:val="clear" w:color="000000" w:fill="00B0F0"/>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Percent of Trucks*</w:t>
            </w:r>
          </w:p>
        </w:tc>
        <w:tc>
          <w:tcPr>
            <w:tcW w:w="1150" w:type="dxa"/>
            <w:tcBorders>
              <w:top w:val="single" w:sz="4" w:space="0" w:color="auto"/>
              <w:left w:val="nil"/>
              <w:bottom w:val="single" w:sz="4" w:space="0" w:color="auto"/>
              <w:right w:val="single" w:sz="4" w:space="0" w:color="auto"/>
            </w:tcBorders>
            <w:shd w:val="clear" w:color="000000" w:fill="00B0F0"/>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E</w:t>
            </w:r>
            <w:r w:rsidRPr="00AA00F3">
              <w:rPr>
                <w:rFonts w:ascii="Calibri" w:eastAsia="Times New Roman" w:hAnsi="Calibri" w:cs="Calibri"/>
                <w:color w:val="000000"/>
                <w:sz w:val="22"/>
                <w:szCs w:val="22"/>
                <w:vertAlign w:val="subscript"/>
              </w:rPr>
              <w:t>T</w:t>
            </w:r>
            <w:r w:rsidRPr="00AA00F3">
              <w:rPr>
                <w:rFonts w:eastAsia="Times New Roman"/>
                <w:sz w:val="20"/>
                <w:szCs w:val="20"/>
              </w:rPr>
              <w:t xml:space="preserve"> - Equivalent Truck*</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Lane Width Factor      (</w:t>
            </w:r>
            <w:proofErr w:type="spellStart"/>
            <w:r w:rsidRPr="00AA00F3">
              <w:rPr>
                <w:rFonts w:eastAsia="Times New Roman"/>
                <w:sz w:val="20"/>
                <w:szCs w:val="20"/>
              </w:rPr>
              <w:t>f</w:t>
            </w:r>
            <w:r w:rsidRPr="00AA00F3">
              <w:rPr>
                <w:rFonts w:ascii="Calibri" w:eastAsia="Times New Roman" w:hAnsi="Calibri" w:cs="Calibri"/>
                <w:color w:val="000000"/>
                <w:sz w:val="22"/>
                <w:szCs w:val="22"/>
                <w:vertAlign w:val="subscript"/>
              </w:rPr>
              <w:t>LW</w:t>
            </w:r>
            <w:proofErr w:type="spellEnd"/>
            <w:r w:rsidRPr="00AA00F3">
              <w:rPr>
                <w:rFonts w:eastAsia="Times New Roman"/>
                <w:sz w:val="20"/>
                <w:szCs w:val="20"/>
              </w:rPr>
              <w:t>)</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Capacity (w/Trucks) </w:t>
            </w:r>
            <w:proofErr w:type="spellStart"/>
            <w:r w:rsidRPr="00AA00F3">
              <w:rPr>
                <w:rFonts w:eastAsia="Times New Roman"/>
                <w:sz w:val="20"/>
                <w:szCs w:val="20"/>
              </w:rPr>
              <w:t>veh</w:t>
            </w:r>
            <w:proofErr w:type="spellEnd"/>
            <w:r w:rsidRPr="00AA00F3">
              <w:rPr>
                <w:rFonts w:eastAsia="Times New Roman"/>
                <w:sz w:val="20"/>
                <w:szCs w:val="20"/>
              </w:rPr>
              <w:t>/lane/hr</w:t>
            </w:r>
          </w:p>
        </w:tc>
        <w:tc>
          <w:tcPr>
            <w:tcW w:w="1200" w:type="dxa"/>
            <w:tcBorders>
              <w:top w:val="single" w:sz="4" w:space="0" w:color="auto"/>
              <w:left w:val="nil"/>
              <w:bottom w:val="single" w:sz="4" w:space="0" w:color="auto"/>
              <w:right w:val="single" w:sz="4" w:space="0" w:color="auto"/>
            </w:tcBorders>
            <w:shd w:val="clear" w:color="000000" w:fill="00B0F0"/>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Number of Lanes Open</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Total Capacity for Spreadsheet (</w:t>
            </w:r>
            <w:proofErr w:type="spellStart"/>
            <w:r w:rsidRPr="00AA00F3">
              <w:rPr>
                <w:rFonts w:eastAsia="Times New Roman"/>
                <w:sz w:val="20"/>
                <w:szCs w:val="20"/>
              </w:rPr>
              <w:t>veh</w:t>
            </w:r>
            <w:proofErr w:type="spellEnd"/>
            <w:r w:rsidRPr="00AA00F3">
              <w:rPr>
                <w:rFonts w:eastAsia="Times New Roman"/>
                <w:sz w:val="20"/>
                <w:szCs w:val="20"/>
              </w:rPr>
              <w:t>/hr)</w:t>
            </w:r>
          </w:p>
        </w:tc>
      </w:tr>
      <w:tr w:rsidR="00AA00F3" w:rsidRPr="00AA00F3"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AA00F3" w:rsidRPr="00AA00F3" w:rsidRDefault="00AA00F3" w:rsidP="003C2011">
            <w:pPr>
              <w:widowControl/>
              <w:autoSpaceDE/>
              <w:autoSpaceDN/>
              <w:adjustRightInd/>
              <w:jc w:val="center"/>
              <w:rPr>
                <w:rFonts w:eastAsia="Times New Roman"/>
                <w:sz w:val="20"/>
                <w:szCs w:val="20"/>
              </w:rPr>
            </w:pPr>
            <w:r w:rsidRPr="00AA00F3">
              <w:rPr>
                <w:rFonts w:eastAsia="Times New Roman"/>
                <w:sz w:val="20"/>
                <w:szCs w:val="20"/>
              </w:rPr>
              <w:t xml:space="preserve">Workers &amp; </w:t>
            </w:r>
            <w:r w:rsidR="003C2011">
              <w:rPr>
                <w:rFonts w:eastAsia="Times New Roman"/>
                <w:sz w:val="20"/>
                <w:szCs w:val="20"/>
              </w:rPr>
              <w:t>equipment</w:t>
            </w:r>
            <w:r w:rsidRPr="00AA00F3">
              <w:rPr>
                <w:rFonts w:eastAsia="Times New Roman"/>
                <w:sz w:val="20"/>
                <w:szCs w:val="20"/>
              </w:rPr>
              <w:t xml:space="preserve"> less than 4-feet from travel lane</w:t>
            </w: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1440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1252</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1252</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1440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1139</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1139</w:t>
            </w:r>
          </w:p>
        </w:tc>
      </w:tr>
      <w:tr w:rsidR="00AA00F3" w:rsidRPr="00AA00F3" w:rsidTr="00307B6D">
        <w:trPr>
          <w:trHeight w:val="260"/>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1440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1077</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1077</w:t>
            </w:r>
          </w:p>
        </w:tc>
      </w:tr>
      <w:tr w:rsidR="00AA00F3" w:rsidRPr="00AA00F3"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AA00F3" w:rsidRPr="00604E15" w:rsidRDefault="00AA00F3" w:rsidP="003C2011">
            <w:pPr>
              <w:widowControl/>
              <w:autoSpaceDE/>
              <w:autoSpaceDN/>
              <w:adjustRightInd/>
              <w:jc w:val="center"/>
              <w:rPr>
                <w:rFonts w:eastAsia="Times New Roman"/>
                <w:sz w:val="20"/>
                <w:szCs w:val="20"/>
              </w:rPr>
            </w:pPr>
            <w:r w:rsidRPr="00604E15">
              <w:rPr>
                <w:rFonts w:eastAsia="Times New Roman"/>
                <w:sz w:val="20"/>
                <w:szCs w:val="20"/>
              </w:rPr>
              <w:t xml:space="preserve">Workers &amp; </w:t>
            </w:r>
            <w:r w:rsidR="003C2011">
              <w:rPr>
                <w:rFonts w:eastAsia="Times New Roman"/>
                <w:sz w:val="20"/>
                <w:szCs w:val="20"/>
              </w:rPr>
              <w:t>equipment</w:t>
            </w:r>
            <w:r w:rsidRPr="00604E15">
              <w:rPr>
                <w:rFonts w:eastAsia="Times New Roman"/>
                <w:sz w:val="20"/>
                <w:szCs w:val="20"/>
              </w:rPr>
              <w:t xml:space="preserve"> greater than 4-feet from travel lane</w:t>
            </w: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1391</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1391</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1266</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1266</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1197</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1197</w:t>
            </w:r>
          </w:p>
        </w:tc>
      </w:tr>
      <w:tr w:rsidR="00604E15" w:rsidTr="00307B6D">
        <w:trPr>
          <w:trHeight w:val="255"/>
        </w:trPr>
        <w:tc>
          <w:tcPr>
            <w:tcW w:w="19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4E15" w:rsidRDefault="00604E15" w:rsidP="00604E15">
            <w:pPr>
              <w:jc w:val="center"/>
              <w:rPr>
                <w:sz w:val="20"/>
                <w:szCs w:val="20"/>
              </w:rPr>
            </w:pPr>
            <w:r>
              <w:rPr>
                <w:sz w:val="20"/>
                <w:szCs w:val="20"/>
              </w:rPr>
              <w:t>Barrier located less than 2-feet from travel lane</w:t>
            </w:r>
          </w:p>
        </w:tc>
        <w:tc>
          <w:tcPr>
            <w:tcW w:w="1060" w:type="dxa"/>
            <w:tcBorders>
              <w:top w:val="single" w:sz="4" w:space="0" w:color="auto"/>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&gt; 11.5</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1500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1.000</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1304</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1304</w:t>
            </w:r>
          </w:p>
        </w:tc>
      </w:tr>
      <w:tr w:rsidR="00604E15" w:rsidTr="00307B6D">
        <w:trPr>
          <w:trHeight w:val="255"/>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604E15" w:rsidRDefault="00604E15">
            <w:pPr>
              <w:rPr>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1500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1187</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1187</w:t>
            </w:r>
          </w:p>
        </w:tc>
      </w:tr>
      <w:tr w:rsidR="00604E15" w:rsidTr="00307B6D">
        <w:trPr>
          <w:trHeight w:val="255"/>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604E15" w:rsidRDefault="00604E15">
            <w:pPr>
              <w:rPr>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1500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1122</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1122</w:t>
            </w:r>
          </w:p>
        </w:tc>
      </w:tr>
      <w:tr w:rsidR="00604E15"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604E15" w:rsidRDefault="00604E15">
            <w:pPr>
              <w:jc w:val="center"/>
              <w:rPr>
                <w:sz w:val="20"/>
                <w:szCs w:val="20"/>
              </w:rPr>
            </w:pPr>
            <w:r>
              <w:rPr>
                <w:sz w:val="20"/>
                <w:szCs w:val="20"/>
              </w:rPr>
              <w:t>Barrier located greater than 2-feet from travel lane</w:t>
            </w: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1391</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1391</w:t>
            </w:r>
          </w:p>
        </w:tc>
      </w:tr>
      <w:tr w:rsidR="00604E15"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604E15" w:rsidRDefault="00604E15">
            <w:pPr>
              <w:rPr>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1266</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1266</w:t>
            </w:r>
          </w:p>
        </w:tc>
      </w:tr>
      <w:tr w:rsidR="00604E15"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604E15" w:rsidRDefault="00604E15">
            <w:pPr>
              <w:rPr>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604E15" w:rsidRDefault="00604E15">
            <w:pPr>
              <w:jc w:val="center"/>
              <w:rPr>
                <w:sz w:val="20"/>
                <w:szCs w:val="20"/>
              </w:rPr>
            </w:pPr>
            <w:r>
              <w:rPr>
                <w:sz w:val="20"/>
                <w:szCs w:val="20"/>
              </w:rPr>
              <w:t>1600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1197</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04E15" w:rsidRDefault="00604E15">
            <w:pPr>
              <w:jc w:val="center"/>
              <w:rPr>
                <w:sz w:val="20"/>
                <w:szCs w:val="20"/>
              </w:rPr>
            </w:pPr>
            <w:r>
              <w:rPr>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604E15" w:rsidRDefault="00604E15">
            <w:pPr>
              <w:jc w:val="center"/>
              <w:rPr>
                <w:sz w:val="20"/>
                <w:szCs w:val="20"/>
              </w:rPr>
            </w:pPr>
            <w:r>
              <w:rPr>
                <w:sz w:val="20"/>
                <w:szCs w:val="20"/>
              </w:rPr>
              <w:t>1197</w:t>
            </w:r>
          </w:p>
        </w:tc>
      </w:tr>
      <w:tr w:rsidR="00AA00F3" w:rsidRPr="00AA00F3"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Ramp                              </w:t>
            </w:r>
            <w:r w:rsidRPr="00AA00F3">
              <w:rPr>
                <w:rFonts w:ascii="Calibri" w:eastAsia="Times New Roman" w:hAnsi="Calibri" w:cs="Calibri"/>
                <w:color w:val="000000"/>
                <w:sz w:val="20"/>
                <w:szCs w:val="20"/>
              </w:rPr>
              <w:t xml:space="preserve"> (used as bypass)</w:t>
            </w: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C152D6" w:rsidP="00AA00F3">
            <w:pPr>
              <w:widowControl/>
              <w:autoSpaceDE/>
              <w:autoSpaceDN/>
              <w:adjustRightInd/>
              <w:jc w:val="center"/>
              <w:rPr>
                <w:rFonts w:eastAsia="Times New Roman"/>
                <w:sz w:val="20"/>
                <w:szCs w:val="20"/>
              </w:rPr>
            </w:pPr>
            <w:r>
              <w:rPr>
                <w:rFonts w:eastAsia="Times New Roman"/>
                <w:sz w:val="20"/>
                <w:szCs w:val="20"/>
              </w:rPr>
              <w:t>1680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1530</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1530</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C152D6" w:rsidP="00C152D6">
            <w:pPr>
              <w:widowControl/>
              <w:autoSpaceDE/>
              <w:autoSpaceDN/>
              <w:adjustRightInd/>
              <w:jc w:val="center"/>
              <w:rPr>
                <w:rFonts w:eastAsia="Times New Roman"/>
                <w:sz w:val="20"/>
                <w:szCs w:val="20"/>
              </w:rPr>
            </w:pPr>
            <w:r>
              <w:rPr>
                <w:rFonts w:eastAsia="Times New Roman"/>
                <w:sz w:val="20"/>
                <w:szCs w:val="20"/>
              </w:rPr>
              <w:t>1680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1393</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1393</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C152D6">
            <w:pPr>
              <w:widowControl/>
              <w:autoSpaceDE/>
              <w:autoSpaceDN/>
              <w:adjustRightInd/>
              <w:jc w:val="center"/>
              <w:rPr>
                <w:rFonts w:eastAsia="Times New Roman"/>
                <w:sz w:val="20"/>
                <w:szCs w:val="20"/>
              </w:rPr>
            </w:pPr>
            <w:r w:rsidRPr="00AA00F3">
              <w:rPr>
                <w:rFonts w:eastAsia="Times New Roman"/>
                <w:sz w:val="20"/>
                <w:szCs w:val="20"/>
              </w:rPr>
              <w:t>16</w:t>
            </w:r>
            <w:r w:rsidR="00C152D6">
              <w:rPr>
                <w:rFonts w:eastAsia="Times New Roman"/>
                <w:sz w:val="20"/>
                <w:szCs w:val="20"/>
              </w:rPr>
              <w:t>8</w:t>
            </w:r>
            <w:r w:rsidRPr="00AA00F3">
              <w:rPr>
                <w:rFonts w:eastAsia="Times New Roman"/>
                <w:sz w:val="20"/>
                <w:szCs w:val="20"/>
              </w:rPr>
              <w:t>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1316</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1316</w:t>
            </w:r>
          </w:p>
        </w:tc>
      </w:tr>
      <w:tr w:rsidR="00AA00F3" w:rsidRPr="00AA00F3" w:rsidTr="00307B6D">
        <w:trPr>
          <w:trHeight w:val="255"/>
        </w:trPr>
        <w:tc>
          <w:tcPr>
            <w:tcW w:w="1927" w:type="dxa"/>
            <w:vMerge w:val="restart"/>
            <w:tcBorders>
              <w:top w:val="nil"/>
              <w:left w:val="single" w:sz="4" w:space="0" w:color="auto"/>
              <w:bottom w:val="single" w:sz="4" w:space="0" w:color="000000"/>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Crossover on              Divided Highway</w:t>
            </w: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&gt;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1760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1.000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1530</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1530</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10 - 11.5</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1760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0.910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1393</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1393</w:t>
            </w:r>
          </w:p>
        </w:tc>
      </w:tr>
      <w:tr w:rsidR="00AA00F3" w:rsidRPr="00AA00F3" w:rsidTr="00307B6D">
        <w:trPr>
          <w:trHeight w:val="255"/>
        </w:trPr>
        <w:tc>
          <w:tcPr>
            <w:tcW w:w="1927" w:type="dxa"/>
            <w:vMerge/>
            <w:tcBorders>
              <w:top w:val="nil"/>
              <w:left w:val="single" w:sz="4" w:space="0" w:color="auto"/>
              <w:bottom w:val="single" w:sz="4" w:space="0" w:color="000000"/>
              <w:right w:val="single" w:sz="4" w:space="0" w:color="auto"/>
            </w:tcBorders>
            <w:vAlign w:val="center"/>
            <w:hideMark/>
          </w:tcPr>
          <w:p w:rsidR="00AA00F3" w:rsidRPr="00AA00F3" w:rsidRDefault="00AA00F3" w:rsidP="00AA00F3">
            <w:pPr>
              <w:widowControl/>
              <w:autoSpaceDE/>
              <w:autoSpaceDN/>
              <w:adjustRightInd/>
              <w:rPr>
                <w:rFonts w:eastAsia="Times New Roman"/>
                <w:sz w:val="20"/>
                <w:szCs w:val="20"/>
              </w:rPr>
            </w:pPr>
          </w:p>
        </w:tc>
        <w:tc>
          <w:tcPr>
            <w:tcW w:w="106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 xml:space="preserve">&lt;10 </w:t>
            </w:r>
          </w:p>
        </w:tc>
        <w:tc>
          <w:tcPr>
            <w:tcW w:w="1120" w:type="dxa"/>
            <w:tcBorders>
              <w:top w:val="nil"/>
              <w:left w:val="nil"/>
              <w:bottom w:val="single" w:sz="4" w:space="0" w:color="auto"/>
              <w:right w:val="single" w:sz="4" w:space="0" w:color="auto"/>
            </w:tcBorders>
            <w:shd w:val="clear" w:color="000000" w:fill="FFFFFF"/>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1760</w:t>
            </w:r>
          </w:p>
        </w:tc>
        <w:tc>
          <w:tcPr>
            <w:tcW w:w="106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30.0</w:t>
            </w:r>
          </w:p>
        </w:tc>
        <w:tc>
          <w:tcPr>
            <w:tcW w:w="115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1.5</w:t>
            </w:r>
          </w:p>
        </w:tc>
        <w:tc>
          <w:tcPr>
            <w:tcW w:w="1104"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0.860</w:t>
            </w:r>
          </w:p>
        </w:tc>
        <w:tc>
          <w:tcPr>
            <w:tcW w:w="1206"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1316</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w:t>
            </w:r>
          </w:p>
        </w:tc>
        <w:tc>
          <w:tcPr>
            <w:tcW w:w="1351" w:type="dxa"/>
            <w:tcBorders>
              <w:top w:val="nil"/>
              <w:left w:val="nil"/>
              <w:bottom w:val="single" w:sz="4" w:space="0" w:color="auto"/>
              <w:right w:val="single" w:sz="4" w:space="0" w:color="auto"/>
            </w:tcBorders>
            <w:shd w:val="clear" w:color="auto" w:fill="auto"/>
            <w:vAlign w:val="bottom"/>
            <w:hideMark/>
          </w:tcPr>
          <w:p w:rsidR="00AA00F3" w:rsidRPr="00AA00F3" w:rsidRDefault="00AA00F3" w:rsidP="00AA00F3">
            <w:pPr>
              <w:widowControl/>
              <w:autoSpaceDE/>
              <w:autoSpaceDN/>
              <w:adjustRightInd/>
              <w:jc w:val="center"/>
              <w:rPr>
                <w:rFonts w:eastAsia="Times New Roman"/>
                <w:sz w:val="20"/>
                <w:szCs w:val="20"/>
              </w:rPr>
            </w:pPr>
            <w:r w:rsidRPr="00AA00F3">
              <w:rPr>
                <w:rFonts w:eastAsia="Times New Roman"/>
                <w:sz w:val="20"/>
                <w:szCs w:val="20"/>
              </w:rPr>
              <w:t>1316</w:t>
            </w:r>
          </w:p>
        </w:tc>
      </w:tr>
      <w:tr w:rsidR="00AA00F3" w:rsidRPr="00AA00F3" w:rsidTr="00604E15">
        <w:trPr>
          <w:trHeight w:val="360"/>
        </w:trPr>
        <w:tc>
          <w:tcPr>
            <w:tcW w:w="7421" w:type="dxa"/>
            <w:gridSpan w:val="6"/>
            <w:tcBorders>
              <w:top w:val="nil"/>
              <w:left w:val="nil"/>
              <w:bottom w:val="nil"/>
              <w:right w:val="nil"/>
            </w:tcBorders>
            <w:shd w:val="clear" w:color="auto" w:fill="auto"/>
            <w:noWrap/>
            <w:vAlign w:val="bottom"/>
            <w:hideMark/>
          </w:tcPr>
          <w:p w:rsidR="00AA00F3" w:rsidRPr="00AA00F3" w:rsidRDefault="00AA00F3" w:rsidP="00AA00F3">
            <w:pPr>
              <w:widowControl/>
              <w:autoSpaceDE/>
              <w:autoSpaceDN/>
              <w:adjustRightInd/>
              <w:rPr>
                <w:rFonts w:eastAsia="Times New Roman"/>
                <w:sz w:val="20"/>
                <w:szCs w:val="20"/>
              </w:rPr>
            </w:pPr>
            <w:r w:rsidRPr="00AA00F3">
              <w:rPr>
                <w:rFonts w:eastAsia="Times New Roman"/>
                <w:sz w:val="20"/>
                <w:szCs w:val="20"/>
              </w:rPr>
              <w:t>* Percent of Trucks and E</w:t>
            </w:r>
            <w:r w:rsidRPr="00AA00F3">
              <w:rPr>
                <w:rFonts w:ascii="Calibri" w:eastAsia="Times New Roman" w:hAnsi="Calibri" w:cs="Calibri"/>
                <w:color w:val="000000"/>
                <w:sz w:val="22"/>
                <w:szCs w:val="22"/>
                <w:vertAlign w:val="subscript"/>
              </w:rPr>
              <w:t>T</w:t>
            </w:r>
            <w:r w:rsidRPr="00AA00F3">
              <w:rPr>
                <w:rFonts w:eastAsia="Times New Roman"/>
                <w:sz w:val="20"/>
                <w:szCs w:val="20"/>
              </w:rPr>
              <w:t xml:space="preserve"> - Equivalent Truck located in the below chart.</w:t>
            </w:r>
          </w:p>
        </w:tc>
        <w:tc>
          <w:tcPr>
            <w:tcW w:w="1206" w:type="dxa"/>
            <w:tcBorders>
              <w:top w:val="nil"/>
              <w:left w:val="nil"/>
              <w:bottom w:val="nil"/>
              <w:right w:val="nil"/>
            </w:tcBorders>
            <w:shd w:val="clear" w:color="auto" w:fill="auto"/>
            <w:noWrap/>
            <w:vAlign w:val="bottom"/>
            <w:hideMark/>
          </w:tcPr>
          <w:p w:rsidR="00AA00F3" w:rsidRPr="00AA00F3" w:rsidRDefault="00AA00F3" w:rsidP="00AA00F3">
            <w:pPr>
              <w:widowControl/>
              <w:autoSpaceDE/>
              <w:autoSpaceDN/>
              <w:adjustRightInd/>
              <w:rPr>
                <w:rFonts w:eastAsia="Times New Roman"/>
                <w:sz w:val="20"/>
                <w:szCs w:val="20"/>
              </w:rPr>
            </w:pPr>
          </w:p>
        </w:tc>
        <w:tc>
          <w:tcPr>
            <w:tcW w:w="1200" w:type="dxa"/>
            <w:tcBorders>
              <w:top w:val="nil"/>
              <w:left w:val="nil"/>
              <w:bottom w:val="nil"/>
              <w:right w:val="nil"/>
            </w:tcBorders>
            <w:shd w:val="clear" w:color="auto" w:fill="auto"/>
            <w:noWrap/>
            <w:vAlign w:val="bottom"/>
            <w:hideMark/>
          </w:tcPr>
          <w:p w:rsidR="00AA00F3" w:rsidRPr="00AA00F3" w:rsidRDefault="00AA00F3" w:rsidP="00AA00F3">
            <w:pPr>
              <w:widowControl/>
              <w:autoSpaceDE/>
              <w:autoSpaceDN/>
              <w:adjustRightInd/>
              <w:rPr>
                <w:rFonts w:eastAsia="Times New Roman"/>
                <w:sz w:val="20"/>
                <w:szCs w:val="20"/>
              </w:rPr>
            </w:pPr>
          </w:p>
        </w:tc>
        <w:tc>
          <w:tcPr>
            <w:tcW w:w="1351" w:type="dxa"/>
            <w:tcBorders>
              <w:top w:val="nil"/>
              <w:left w:val="nil"/>
              <w:bottom w:val="nil"/>
              <w:right w:val="nil"/>
            </w:tcBorders>
            <w:shd w:val="clear" w:color="auto" w:fill="auto"/>
            <w:noWrap/>
            <w:vAlign w:val="bottom"/>
            <w:hideMark/>
          </w:tcPr>
          <w:p w:rsidR="00AA00F3" w:rsidRPr="00AA00F3" w:rsidRDefault="00AA00F3" w:rsidP="00AA00F3">
            <w:pPr>
              <w:widowControl/>
              <w:autoSpaceDE/>
              <w:autoSpaceDN/>
              <w:adjustRightInd/>
              <w:rPr>
                <w:rFonts w:eastAsia="Times New Roman"/>
                <w:sz w:val="20"/>
                <w:szCs w:val="20"/>
              </w:rPr>
            </w:pPr>
          </w:p>
        </w:tc>
      </w:tr>
    </w:tbl>
    <w:p w:rsidR="00ED707F" w:rsidRDefault="00ED707F" w:rsidP="00ED707F">
      <w:pPr>
        <w:pStyle w:val="Default"/>
      </w:pPr>
    </w:p>
    <w:p w:rsidR="00ED707F" w:rsidRPr="00ED707F" w:rsidRDefault="00ED707F" w:rsidP="00ED707F">
      <w:pPr>
        <w:pStyle w:val="Default"/>
        <w:rPr>
          <w:i/>
        </w:rPr>
      </w:pPr>
      <w:r w:rsidRPr="00ED707F">
        <w:rPr>
          <w:i/>
        </w:rPr>
        <w:t>Work Location -</w:t>
      </w:r>
      <w:r w:rsidRPr="00ED707F">
        <w:t xml:space="preserve"> The relative location of workers and</w:t>
      </w:r>
      <w:r w:rsidR="00BD0FDC">
        <w:t>/or</w:t>
      </w:r>
      <w:r w:rsidRPr="00ED707F">
        <w:t xml:space="preserve"> equipment to the traveling public has been shown to </w:t>
      </w:r>
      <w:r w:rsidR="00565E8B">
        <w:t xml:space="preserve">affect </w:t>
      </w:r>
      <w:r w:rsidRPr="00ED707F">
        <w:t>the capacity of the travel lane through the work area.</w:t>
      </w:r>
      <w:r w:rsidR="00565E8B">
        <w:t xml:space="preserve"> </w:t>
      </w:r>
      <w:r w:rsidRPr="00ED707F">
        <w:t xml:space="preserve">      </w:t>
      </w:r>
      <w:r w:rsidRPr="00ED707F">
        <w:rPr>
          <w:i/>
        </w:rPr>
        <w:t xml:space="preserve">   </w:t>
      </w:r>
    </w:p>
    <w:p w:rsidR="00ED707F" w:rsidRDefault="006C1459" w:rsidP="00ED707F">
      <w:pPr>
        <w:pStyle w:val="Default"/>
      </w:pPr>
      <w:r>
        <w:t xml:space="preserve">   </w:t>
      </w:r>
    </w:p>
    <w:p w:rsidR="00ED707F" w:rsidRPr="00ED707F" w:rsidRDefault="00ED707F" w:rsidP="00ED707F">
      <w:pPr>
        <w:pStyle w:val="Default"/>
      </w:pPr>
      <w:r w:rsidRPr="00ED707F">
        <w:rPr>
          <w:i/>
        </w:rPr>
        <w:t>Travel Lane Width</w:t>
      </w:r>
      <w:r w:rsidRPr="00ED707F">
        <w:t xml:space="preserve"> </w:t>
      </w:r>
      <w:r w:rsidR="001D05BB">
        <w:t>-</w:t>
      </w:r>
      <w:r w:rsidRPr="00ED707F">
        <w:t xml:space="preserve"> </w:t>
      </w:r>
      <w:r w:rsidR="00581612">
        <w:t xml:space="preserve">At times the travel lane width may be reduced due to the type of operation, size of work equipment, etc.  Restricting travel lane width has shown in studies that free-flow speed is reduced, which in turn will decrease the capacity. </w:t>
      </w:r>
      <w:r w:rsidRPr="00ED707F">
        <w:t xml:space="preserve">  </w:t>
      </w:r>
    </w:p>
    <w:p w:rsidR="00ED707F" w:rsidRDefault="00ED707F" w:rsidP="00ED707F">
      <w:pPr>
        <w:pStyle w:val="Default"/>
      </w:pPr>
    </w:p>
    <w:p w:rsidR="00ED707F" w:rsidRPr="00ED707F" w:rsidRDefault="00ED707F" w:rsidP="00ED707F">
      <w:pPr>
        <w:pStyle w:val="Default"/>
      </w:pPr>
      <w:r w:rsidRPr="00ED707F">
        <w:rPr>
          <w:i/>
        </w:rPr>
        <w:t xml:space="preserve">Capacity of Work </w:t>
      </w:r>
      <w:r w:rsidR="00AA00F3">
        <w:rPr>
          <w:i/>
        </w:rPr>
        <w:t xml:space="preserve">Zone </w:t>
      </w:r>
      <w:r w:rsidRPr="00ED707F">
        <w:rPr>
          <w:i/>
        </w:rPr>
        <w:t>Before Trucks</w:t>
      </w:r>
      <w:r w:rsidRPr="00ED707F">
        <w:t xml:space="preserve"> </w:t>
      </w:r>
      <w:r w:rsidR="00273703">
        <w:t>–</w:t>
      </w:r>
      <w:r w:rsidR="00581612">
        <w:t xml:space="preserve"> </w:t>
      </w:r>
      <w:r w:rsidR="00273703">
        <w:t>The Highway Capacity Manual 2010 state</w:t>
      </w:r>
      <w:r w:rsidR="00993E80">
        <w:t>s</w:t>
      </w:r>
      <w:r w:rsidR="00273703">
        <w:t xml:space="preserve"> th</w:t>
      </w:r>
      <w:r w:rsidR="00993E80">
        <w:t>e</w:t>
      </w:r>
      <w:r w:rsidR="00273703">
        <w:t xml:space="preserve"> base value</w:t>
      </w:r>
      <w:r w:rsidR="00993E80">
        <w:t xml:space="preserve"> capacity</w:t>
      </w:r>
      <w:r w:rsidR="00273703">
        <w:t xml:space="preserve"> </w:t>
      </w:r>
      <w:r w:rsidR="00A233EE">
        <w:t xml:space="preserve">for the travel lane </w:t>
      </w:r>
      <w:r w:rsidR="00993E80">
        <w:t>is approximately</w:t>
      </w:r>
      <w:r w:rsidR="00273703">
        <w:t xml:space="preserve"> 1600 passenger cars per hour per lane</w:t>
      </w:r>
      <w:r w:rsidR="00A233EE">
        <w:t xml:space="preserve"> for “normal” work zone activity.</w:t>
      </w:r>
      <w:r w:rsidRPr="00ED707F">
        <w:t xml:space="preserve">  </w:t>
      </w:r>
      <w:r w:rsidR="00A233EE">
        <w:t>If the work area is located close to the travel lane</w:t>
      </w:r>
      <w:r w:rsidR="00993E80">
        <w:t xml:space="preserve">, the capacity is adjusted as much as 10% due to closeness of vehicles and people, rubbernecking, etc.  If the work area is located some distance from the travel lane, the capacity may increase as much as 10% due to less activity along the travel lane.  </w:t>
      </w:r>
      <w:r w:rsidRPr="00ED707F">
        <w:t xml:space="preserve"> </w:t>
      </w:r>
    </w:p>
    <w:p w:rsidR="00ED707F" w:rsidRDefault="00ED707F" w:rsidP="00ED707F">
      <w:pPr>
        <w:pStyle w:val="Default"/>
      </w:pPr>
    </w:p>
    <w:p w:rsidR="00ED707F" w:rsidRPr="00ED707F" w:rsidRDefault="00ED707F" w:rsidP="00ED707F">
      <w:pPr>
        <w:pStyle w:val="Default"/>
      </w:pPr>
      <w:r w:rsidRPr="00ED707F">
        <w:rPr>
          <w:i/>
        </w:rPr>
        <w:t>Percent of Trucks</w:t>
      </w:r>
      <w:r w:rsidRPr="00ED707F">
        <w:t xml:space="preserve"> </w:t>
      </w:r>
      <w:r w:rsidR="00993E80">
        <w:t xml:space="preserve">– The percentage of trucks </w:t>
      </w:r>
      <w:r w:rsidR="001F7840">
        <w:t xml:space="preserve">is a </w:t>
      </w:r>
      <w:r w:rsidR="00993E80">
        <w:t>comp</w:t>
      </w:r>
      <w:r w:rsidR="001F7840">
        <w:t xml:space="preserve">arison between number of trucks and the total number of </w:t>
      </w:r>
      <w:r w:rsidR="00993E80">
        <w:t>vehicles.</w:t>
      </w:r>
      <w:r w:rsidRPr="00ED707F">
        <w:t xml:space="preserve">    </w:t>
      </w:r>
    </w:p>
    <w:p w:rsidR="00ED707F" w:rsidRDefault="00ED707F" w:rsidP="00ED707F">
      <w:pPr>
        <w:pStyle w:val="Default"/>
      </w:pPr>
    </w:p>
    <w:p w:rsidR="00ED707F" w:rsidRPr="00ED707F" w:rsidRDefault="001F7840" w:rsidP="00ED707F">
      <w:pPr>
        <w:pStyle w:val="Default"/>
      </w:pPr>
      <w:proofErr w:type="gramStart"/>
      <w:r>
        <w:rPr>
          <w:i/>
        </w:rPr>
        <w:lastRenderedPageBreak/>
        <w:t>E</w:t>
      </w:r>
      <w:r>
        <w:rPr>
          <w:i/>
          <w:vertAlign w:val="subscript"/>
        </w:rPr>
        <w:t>T</w:t>
      </w:r>
      <w:r>
        <w:rPr>
          <w:i/>
        </w:rPr>
        <w:t xml:space="preserve"> </w:t>
      </w:r>
      <w:r w:rsidR="00ED707F" w:rsidRPr="00ED707F">
        <w:rPr>
          <w:i/>
        </w:rPr>
        <w:t xml:space="preserve"> –</w:t>
      </w:r>
      <w:proofErr w:type="gramEnd"/>
      <w:r w:rsidR="00ED707F" w:rsidRPr="00ED707F">
        <w:rPr>
          <w:i/>
        </w:rPr>
        <w:t xml:space="preserve"> Equivalent Truck</w:t>
      </w:r>
      <w:r w:rsidR="00ED707F" w:rsidRPr="00ED707F">
        <w:t xml:space="preserve"> </w:t>
      </w:r>
      <w:r>
        <w:t>–</w:t>
      </w:r>
      <w:r w:rsidR="00ED707F" w:rsidRPr="00ED707F">
        <w:t xml:space="preserve"> </w:t>
      </w:r>
      <w:r>
        <w:t>Large trucks</w:t>
      </w:r>
      <w:r w:rsidR="00650BBF">
        <w:t>,</w:t>
      </w:r>
      <w:r>
        <w:t xml:space="preserve"> buses</w:t>
      </w:r>
      <w:r w:rsidR="00650BBF">
        <w:t>, and RV’s</w:t>
      </w:r>
      <w:r>
        <w:t xml:space="preserve"> in traffic cannot be compared with passenger vehicles (cars/small trucks) because of the </w:t>
      </w:r>
      <w:r w:rsidR="009161BA">
        <w:t>length and weight of the trucks/buses</w:t>
      </w:r>
      <w:r w:rsidR="00BD0FDC">
        <w:t>/RVs</w:t>
      </w:r>
      <w:r w:rsidR="009161BA">
        <w:t>.  Trucks/buses/RV</w:t>
      </w:r>
      <w:r w:rsidR="00BD0FDC">
        <w:t>s</w:t>
      </w:r>
      <w:r w:rsidR="009161BA">
        <w:t xml:space="preserve"> are normally calculated as equivalent truck</w:t>
      </w:r>
      <w:r w:rsidR="001E2A6B">
        <w:t>s</w:t>
      </w:r>
      <w:r w:rsidR="009161BA">
        <w:t>.  In the below table, trucks/buses/RV</w:t>
      </w:r>
      <w:r w:rsidR="00BD0FDC">
        <w:t>s</w:t>
      </w:r>
      <w:r w:rsidR="009161BA">
        <w:t xml:space="preserve"> are </w:t>
      </w:r>
      <w:r w:rsidR="00650BBF">
        <w:t xml:space="preserve">measured as </w:t>
      </w:r>
      <w:r w:rsidR="00BD0FDC">
        <w:t xml:space="preserve">a </w:t>
      </w:r>
      <w:r w:rsidR="00ED707F" w:rsidRPr="00ED707F">
        <w:rPr>
          <w:i/>
        </w:rPr>
        <w:t>number of passenger vehicles</w:t>
      </w:r>
      <w:r w:rsidR="00650BBF">
        <w:t xml:space="preserve"> </w:t>
      </w:r>
      <w:r w:rsidR="00BD0FDC">
        <w:t xml:space="preserve">that </w:t>
      </w:r>
      <w:r w:rsidR="00650BBF">
        <w:t xml:space="preserve">would </w:t>
      </w:r>
      <w:r w:rsidR="001E2A6B">
        <w:t xml:space="preserve">be </w:t>
      </w:r>
      <w:r w:rsidR="00650BBF">
        <w:t xml:space="preserve">equal </w:t>
      </w:r>
      <w:r w:rsidR="001E2A6B">
        <w:t xml:space="preserve">to </w:t>
      </w:r>
      <w:r w:rsidR="00650BBF">
        <w:t xml:space="preserve">a truck/bus/RV </w:t>
      </w:r>
      <w:r w:rsidR="001E2A6B">
        <w:t xml:space="preserve">based on </w:t>
      </w:r>
      <w:r w:rsidR="00650BBF">
        <w:t xml:space="preserve">length of grade, percent of grade, and percentage of truck/bus/RV.  </w:t>
      </w:r>
      <w:r w:rsidR="00ED707F" w:rsidRPr="00ED707F">
        <w:t xml:space="preserve">   </w:t>
      </w:r>
    </w:p>
    <w:p w:rsidR="00ED707F" w:rsidRDefault="00ED707F" w:rsidP="00ED707F">
      <w:pPr>
        <w:pStyle w:val="Default"/>
      </w:pPr>
    </w:p>
    <w:p w:rsidR="00ED707F" w:rsidRPr="00ED707F" w:rsidRDefault="00ED707F" w:rsidP="00ED707F">
      <w:pPr>
        <w:pStyle w:val="Default"/>
      </w:pPr>
      <w:r w:rsidRPr="00ED707F">
        <w:rPr>
          <w:i/>
        </w:rPr>
        <w:t>Lane Width Factor</w:t>
      </w:r>
      <w:r w:rsidRPr="00ED707F">
        <w:t xml:space="preserve"> </w:t>
      </w:r>
      <w:r w:rsidR="009D1115">
        <w:t xml:space="preserve">– The percentage of capacity </w:t>
      </w:r>
      <w:r w:rsidR="00BD0FDC">
        <w:t xml:space="preserve">based on </w:t>
      </w:r>
      <w:r w:rsidR="009D1115">
        <w:t>the narrowness of the travel way.</w:t>
      </w:r>
      <w:r w:rsidRPr="00ED707F">
        <w:t xml:space="preserve">    </w:t>
      </w:r>
    </w:p>
    <w:p w:rsidR="00ED707F" w:rsidRDefault="00ED707F" w:rsidP="00ED707F">
      <w:pPr>
        <w:pStyle w:val="Default"/>
      </w:pPr>
    </w:p>
    <w:p w:rsidR="00ED707F" w:rsidRPr="00ED707F" w:rsidRDefault="00ED707F" w:rsidP="00ED707F">
      <w:pPr>
        <w:pStyle w:val="Default"/>
      </w:pPr>
      <w:proofErr w:type="gramStart"/>
      <w:r w:rsidRPr="00ED707F">
        <w:rPr>
          <w:i/>
        </w:rPr>
        <w:t>Capacity (w/Trucks)</w:t>
      </w:r>
      <w:r w:rsidRPr="00ED707F">
        <w:t xml:space="preserve"> </w:t>
      </w:r>
      <w:r w:rsidR="009D1115">
        <w:t>– The travel lane capacity for one lane open</w:t>
      </w:r>
      <w:proofErr w:type="gramEnd"/>
      <w:r w:rsidR="009D1115">
        <w:t xml:space="preserve"> </w:t>
      </w:r>
      <w:r w:rsidR="00BD0FDC">
        <w:t>to the traveling public</w:t>
      </w:r>
      <w:r w:rsidR="009D1115">
        <w:t>.</w:t>
      </w:r>
      <w:r w:rsidRPr="00ED707F">
        <w:t xml:space="preserve">    </w:t>
      </w:r>
    </w:p>
    <w:p w:rsidR="00ED707F" w:rsidRDefault="00ED707F" w:rsidP="00ED707F">
      <w:pPr>
        <w:pStyle w:val="Default"/>
      </w:pPr>
    </w:p>
    <w:p w:rsidR="00ED707F" w:rsidRPr="00ED707F" w:rsidRDefault="00ED707F" w:rsidP="00ED707F">
      <w:pPr>
        <w:pStyle w:val="Default"/>
      </w:pPr>
      <w:r w:rsidRPr="00ED707F">
        <w:rPr>
          <w:i/>
        </w:rPr>
        <w:t>Number of Lanes Open</w:t>
      </w:r>
      <w:r w:rsidR="009D1115">
        <w:t xml:space="preserve"> – Number of travel lanes </w:t>
      </w:r>
      <w:r w:rsidR="00BD0FDC">
        <w:t xml:space="preserve">that will be </w:t>
      </w:r>
      <w:r w:rsidR="009D1115">
        <w:t>open to the traveling public.</w:t>
      </w:r>
    </w:p>
    <w:p w:rsidR="00ED707F" w:rsidRDefault="00ED707F" w:rsidP="00ED707F">
      <w:pPr>
        <w:pStyle w:val="Default"/>
      </w:pPr>
    </w:p>
    <w:p w:rsidR="00ED707F" w:rsidRPr="00ED707F" w:rsidRDefault="00ED707F" w:rsidP="00ED707F">
      <w:pPr>
        <w:pStyle w:val="Default"/>
      </w:pPr>
      <w:r w:rsidRPr="00ED707F">
        <w:rPr>
          <w:i/>
        </w:rPr>
        <w:t>Total Capacity for Spreadsheet</w:t>
      </w:r>
      <w:r w:rsidRPr="00ED707F">
        <w:t xml:space="preserve"> </w:t>
      </w:r>
      <w:r w:rsidR="009D1115">
        <w:t>– Capacity of the travel lane multiplied by the number of open lanes.</w:t>
      </w:r>
      <w:r w:rsidRPr="00ED707F">
        <w:t xml:space="preserve">     </w:t>
      </w:r>
    </w:p>
    <w:p w:rsidR="00ED707F" w:rsidRDefault="00ED707F" w:rsidP="00ED707F">
      <w:pPr>
        <w:pStyle w:val="Default"/>
      </w:pPr>
    </w:p>
    <w:tbl>
      <w:tblPr>
        <w:tblW w:w="0" w:type="auto"/>
        <w:tblInd w:w="93" w:type="dxa"/>
        <w:tblLayout w:type="fixed"/>
        <w:tblLook w:val="04A0"/>
      </w:tblPr>
      <w:tblGrid>
        <w:gridCol w:w="1005"/>
        <w:gridCol w:w="1168"/>
        <w:gridCol w:w="722"/>
        <w:gridCol w:w="810"/>
        <w:gridCol w:w="810"/>
        <w:gridCol w:w="810"/>
        <w:gridCol w:w="720"/>
        <w:gridCol w:w="148"/>
        <w:gridCol w:w="473"/>
        <w:gridCol w:w="99"/>
        <w:gridCol w:w="374"/>
        <w:gridCol w:w="346"/>
        <w:gridCol w:w="127"/>
        <w:gridCol w:w="473"/>
        <w:gridCol w:w="120"/>
        <w:gridCol w:w="353"/>
        <w:gridCol w:w="367"/>
        <w:gridCol w:w="106"/>
        <w:gridCol w:w="473"/>
        <w:gridCol w:w="51"/>
        <w:gridCol w:w="422"/>
        <w:gridCol w:w="298"/>
        <w:gridCol w:w="175"/>
        <w:gridCol w:w="473"/>
      </w:tblGrid>
      <w:tr w:rsidR="003701B8" w:rsidRPr="003701B8" w:rsidTr="003701B8">
        <w:trPr>
          <w:trHeight w:val="315"/>
        </w:trPr>
        <w:tc>
          <w:tcPr>
            <w:tcW w:w="6193" w:type="dxa"/>
            <w:gridSpan w:val="8"/>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ascii="Calibri" w:eastAsia="Times New Roman" w:hAnsi="Calibri" w:cs="Calibri"/>
                <w:b/>
                <w:bCs/>
                <w:color w:val="000000"/>
                <w:sz w:val="18"/>
                <w:szCs w:val="18"/>
              </w:rPr>
            </w:pPr>
            <w:r w:rsidRPr="003701B8">
              <w:rPr>
                <w:rFonts w:ascii="Calibri" w:eastAsia="Times New Roman" w:hAnsi="Calibri" w:cs="Calibri"/>
                <w:b/>
                <w:bCs/>
                <w:color w:val="000000"/>
                <w:sz w:val="18"/>
                <w:szCs w:val="18"/>
              </w:rPr>
              <w:t>Passenger - Car Equivalents for Trucks on Upgrades</w:t>
            </w:r>
          </w:p>
        </w:tc>
        <w:tc>
          <w:tcPr>
            <w:tcW w:w="473"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473"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r>
      <w:tr w:rsidR="003701B8" w:rsidRPr="003701B8" w:rsidTr="003701B8">
        <w:trPr>
          <w:trHeight w:val="375"/>
        </w:trPr>
        <w:tc>
          <w:tcPr>
            <w:tcW w:w="1005"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Climbing Grade        (%)*</w:t>
            </w:r>
          </w:p>
        </w:tc>
        <w:tc>
          <w:tcPr>
            <w:tcW w:w="1168"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Length (mi)</w:t>
            </w:r>
          </w:p>
        </w:tc>
        <w:tc>
          <w:tcPr>
            <w:tcW w:w="8750" w:type="dxa"/>
            <w:gridSpan w:val="22"/>
            <w:tcBorders>
              <w:top w:val="single" w:sz="8" w:space="0" w:color="auto"/>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E</w:t>
            </w:r>
            <w:r w:rsidRPr="003701B8">
              <w:rPr>
                <w:rFonts w:ascii="Calibri" w:eastAsia="Times New Roman" w:hAnsi="Calibri" w:cs="Calibri"/>
                <w:color w:val="000000"/>
                <w:sz w:val="18"/>
                <w:szCs w:val="18"/>
                <w:vertAlign w:val="subscript"/>
              </w:rPr>
              <w:t>T</w:t>
            </w:r>
            <w:r w:rsidRPr="003701B8">
              <w:rPr>
                <w:rFonts w:eastAsia="Times New Roman"/>
                <w:sz w:val="18"/>
                <w:szCs w:val="18"/>
              </w:rPr>
              <w:t xml:space="preserve"> - Passenger - Car Equivalents for Trucks on Upgrades</w:t>
            </w:r>
            <w:r w:rsidRPr="003701B8">
              <w:rPr>
                <w:rFonts w:ascii="Calibri" w:eastAsia="Times New Roman" w:hAnsi="Calibri" w:cs="Calibri"/>
                <w:color w:val="000000"/>
                <w:sz w:val="18"/>
                <w:szCs w:val="18"/>
                <w:vertAlign w:val="subscript"/>
              </w:rPr>
              <w:t xml:space="preserve"> </w:t>
            </w:r>
          </w:p>
        </w:tc>
      </w:tr>
      <w:tr w:rsidR="003701B8" w:rsidRPr="003701B8" w:rsidTr="003701B8">
        <w:trPr>
          <w:trHeight w:val="270"/>
        </w:trPr>
        <w:tc>
          <w:tcPr>
            <w:tcW w:w="1005" w:type="dxa"/>
            <w:vMerge/>
            <w:tcBorders>
              <w:top w:val="single" w:sz="8" w:space="0" w:color="auto"/>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vMerge/>
            <w:tcBorders>
              <w:top w:val="single" w:sz="8" w:space="0" w:color="auto"/>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8750" w:type="dxa"/>
            <w:gridSpan w:val="22"/>
            <w:tcBorders>
              <w:top w:val="single" w:sz="8" w:space="0" w:color="auto"/>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Percentage of Trucks</w:t>
            </w:r>
          </w:p>
        </w:tc>
      </w:tr>
      <w:tr w:rsidR="00113BCB" w:rsidRPr="003701B8" w:rsidTr="00D0544D">
        <w:trPr>
          <w:trHeight w:val="270"/>
        </w:trPr>
        <w:tc>
          <w:tcPr>
            <w:tcW w:w="1005" w:type="dxa"/>
            <w:vMerge/>
            <w:tcBorders>
              <w:top w:val="single" w:sz="8" w:space="0" w:color="auto"/>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vMerge/>
            <w:tcBorders>
              <w:top w:val="single" w:sz="8" w:space="0" w:color="auto"/>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722"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w:t>
            </w:r>
          </w:p>
        </w:tc>
        <w:tc>
          <w:tcPr>
            <w:tcW w:w="810"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w:t>
            </w:r>
          </w:p>
        </w:tc>
        <w:tc>
          <w:tcPr>
            <w:tcW w:w="810"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w:t>
            </w:r>
          </w:p>
        </w:tc>
        <w:tc>
          <w:tcPr>
            <w:tcW w:w="810"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6</w:t>
            </w:r>
          </w:p>
        </w:tc>
        <w:tc>
          <w:tcPr>
            <w:tcW w:w="720" w:type="dxa"/>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8</w:t>
            </w:r>
          </w:p>
        </w:tc>
        <w:tc>
          <w:tcPr>
            <w:tcW w:w="720" w:type="dxa"/>
            <w:gridSpan w:val="3"/>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10</w:t>
            </w:r>
          </w:p>
        </w:tc>
        <w:tc>
          <w:tcPr>
            <w:tcW w:w="720" w:type="dxa"/>
            <w:gridSpan w:val="2"/>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30" w:type="dxa"/>
            <w:gridSpan w:val="3"/>
            <w:tcBorders>
              <w:top w:val="nil"/>
              <w:left w:val="nil"/>
              <w:bottom w:val="single" w:sz="8" w:space="0" w:color="auto"/>
              <w:right w:val="single" w:sz="8" w:space="0" w:color="auto"/>
            </w:tcBorders>
            <w:shd w:val="clear" w:color="auto" w:fill="0070C0"/>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48" w:type="dxa"/>
            <w:gridSpan w:val="2"/>
            <w:tcBorders>
              <w:top w:val="nil"/>
              <w:left w:val="nil"/>
              <w:bottom w:val="single" w:sz="8" w:space="0" w:color="auto"/>
              <w:right w:val="single" w:sz="8" w:space="0" w:color="auto"/>
            </w:tcBorders>
            <w:shd w:val="clear" w:color="auto" w:fill="auto"/>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r>
      <w:tr w:rsidR="00113BCB" w:rsidRPr="003701B8" w:rsidTr="00113BCB">
        <w:trPr>
          <w:trHeight w:val="270"/>
        </w:trPr>
        <w:tc>
          <w:tcPr>
            <w:tcW w:w="1005" w:type="dxa"/>
            <w:tcBorders>
              <w:top w:val="nil"/>
              <w:left w:val="single" w:sz="8" w:space="0" w:color="auto"/>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&lt; 2</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 </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r>
      <w:tr w:rsidR="00113BCB" w:rsidRPr="003701B8" w:rsidTr="00113BCB">
        <w:trPr>
          <w:trHeight w:val="270"/>
        </w:trPr>
        <w:tc>
          <w:tcPr>
            <w:tcW w:w="100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&gt;2-3</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r>
      <w:tr w:rsidR="00113BCB" w:rsidRPr="003701B8" w:rsidTr="00D0544D">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r>
      <w:tr w:rsidR="00113BCB" w:rsidRPr="003701B8" w:rsidTr="00D0544D">
        <w:trPr>
          <w:trHeight w:val="270"/>
        </w:trPr>
        <w:tc>
          <w:tcPr>
            <w:tcW w:w="1005" w:type="dxa"/>
            <w:vMerge w:val="restart"/>
            <w:tcBorders>
              <w:top w:val="single" w:sz="8" w:space="0" w:color="auto"/>
              <w:left w:val="single" w:sz="8" w:space="0" w:color="auto"/>
              <w:bottom w:val="single" w:sz="8" w:space="0" w:color="auto"/>
              <w:right w:val="single" w:sz="8" w:space="0" w:color="auto"/>
            </w:tcBorders>
            <w:shd w:val="clear" w:color="auto" w:fill="0070C0"/>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&gt;3-4</w:t>
            </w:r>
          </w:p>
        </w:tc>
        <w:tc>
          <w:tcPr>
            <w:tcW w:w="1168" w:type="dxa"/>
            <w:tcBorders>
              <w:top w:val="single" w:sz="8" w:space="0" w:color="auto"/>
              <w:left w:val="nil"/>
              <w:bottom w:val="single" w:sz="8" w:space="0" w:color="auto"/>
              <w:right w:val="single" w:sz="8" w:space="0" w:color="auto"/>
            </w:tcBorders>
            <w:shd w:val="clear" w:color="auto" w:fill="0070C0"/>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30" w:type="dxa"/>
            <w:gridSpan w:val="3"/>
            <w:tcBorders>
              <w:top w:val="single" w:sz="8" w:space="0" w:color="auto"/>
              <w:left w:val="nil"/>
              <w:bottom w:val="single" w:sz="8" w:space="0" w:color="auto"/>
              <w:right w:val="single" w:sz="8" w:space="0" w:color="auto"/>
            </w:tcBorders>
            <w:shd w:val="clear" w:color="auto" w:fill="00FF00"/>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1.5</w:t>
            </w:r>
          </w:p>
        </w:tc>
      </w:tr>
      <w:tr w:rsidR="00113BCB" w:rsidRPr="003701B8" w:rsidTr="00D0544D">
        <w:trPr>
          <w:trHeight w:val="270"/>
        </w:trPr>
        <w:tc>
          <w:tcPr>
            <w:tcW w:w="1005" w:type="dxa"/>
            <w:vMerge/>
            <w:tcBorders>
              <w:top w:val="single" w:sz="8" w:space="0" w:color="auto"/>
              <w:left w:val="single" w:sz="8" w:space="0" w:color="auto"/>
              <w:bottom w:val="single" w:sz="8" w:space="0" w:color="auto"/>
              <w:right w:val="single" w:sz="8" w:space="0" w:color="auto"/>
            </w:tcBorders>
            <w:shd w:val="clear" w:color="auto" w:fill="0070C0"/>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r>
      <w:tr w:rsidR="00113BCB" w:rsidRPr="003701B8" w:rsidTr="00D0544D">
        <w:trPr>
          <w:trHeight w:val="270"/>
        </w:trPr>
        <w:tc>
          <w:tcPr>
            <w:tcW w:w="1005" w:type="dxa"/>
            <w:vMerge/>
            <w:tcBorders>
              <w:top w:val="single" w:sz="8" w:space="0" w:color="auto"/>
              <w:left w:val="single" w:sz="8" w:space="0" w:color="auto"/>
              <w:bottom w:val="single" w:sz="8" w:space="0" w:color="auto"/>
              <w:right w:val="single" w:sz="8" w:space="0" w:color="auto"/>
            </w:tcBorders>
            <w:shd w:val="clear" w:color="auto" w:fill="0070C0"/>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r>
      <w:tr w:rsidR="00113BCB" w:rsidRPr="003701B8" w:rsidTr="00113BCB">
        <w:trPr>
          <w:trHeight w:val="270"/>
        </w:trPr>
        <w:tc>
          <w:tcPr>
            <w:tcW w:w="100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&gt;4-5</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2.0</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r>
      <w:tr w:rsidR="00113BCB" w:rsidRPr="003701B8" w:rsidTr="00113BCB">
        <w:trPr>
          <w:trHeight w:val="270"/>
        </w:trPr>
        <w:tc>
          <w:tcPr>
            <w:tcW w:w="100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&gt;5-6</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6.0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r>
      <w:tr w:rsidR="00113BCB" w:rsidRPr="003701B8" w:rsidTr="00113BCB">
        <w:trPr>
          <w:trHeight w:val="270"/>
        </w:trPr>
        <w:tc>
          <w:tcPr>
            <w:tcW w:w="1005"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&gt;6</w:t>
            </w: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0 - 0.49</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2.5</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0.50 - 1.00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6.0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3.5</w:t>
            </w:r>
          </w:p>
        </w:tc>
      </w:tr>
      <w:tr w:rsidR="00113BCB" w:rsidRPr="003701B8" w:rsidTr="00113BCB">
        <w:trPr>
          <w:trHeight w:val="270"/>
        </w:trPr>
        <w:tc>
          <w:tcPr>
            <w:tcW w:w="1005" w:type="dxa"/>
            <w:vMerge/>
            <w:tcBorders>
              <w:top w:val="nil"/>
              <w:left w:val="single" w:sz="8" w:space="0" w:color="auto"/>
              <w:bottom w:val="single" w:sz="8" w:space="0" w:color="auto"/>
              <w:right w:val="single" w:sz="8" w:space="0" w:color="auto"/>
            </w:tcBorders>
            <w:vAlign w:val="center"/>
            <w:hideMark/>
          </w:tcPr>
          <w:p w:rsidR="003701B8" w:rsidRPr="003701B8" w:rsidRDefault="003701B8" w:rsidP="003701B8">
            <w:pPr>
              <w:widowControl/>
              <w:autoSpaceDE/>
              <w:autoSpaceDN/>
              <w:adjustRightInd/>
              <w:rPr>
                <w:rFonts w:eastAsia="Times New Roman"/>
                <w:sz w:val="18"/>
                <w:szCs w:val="18"/>
              </w:rPr>
            </w:pPr>
          </w:p>
        </w:tc>
        <w:tc>
          <w:tcPr>
            <w:tcW w:w="1168"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&gt;1.00</w:t>
            </w:r>
          </w:p>
        </w:tc>
        <w:tc>
          <w:tcPr>
            <w:tcW w:w="722"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7.0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6.0</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5.5</w:t>
            </w:r>
          </w:p>
        </w:tc>
        <w:tc>
          <w:tcPr>
            <w:tcW w:w="81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5.5</w:t>
            </w:r>
          </w:p>
        </w:tc>
        <w:tc>
          <w:tcPr>
            <w:tcW w:w="720" w:type="dxa"/>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5.0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4.5</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630" w:type="dxa"/>
            <w:gridSpan w:val="3"/>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720"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c>
          <w:tcPr>
            <w:tcW w:w="648" w:type="dxa"/>
            <w:gridSpan w:val="2"/>
            <w:tcBorders>
              <w:top w:val="nil"/>
              <w:left w:val="nil"/>
              <w:bottom w:val="single" w:sz="8" w:space="0" w:color="auto"/>
              <w:right w:val="single" w:sz="8" w:space="0" w:color="auto"/>
            </w:tcBorders>
            <w:shd w:val="clear" w:color="auto" w:fill="auto"/>
            <w:noWrap/>
            <w:vAlign w:val="bottom"/>
            <w:hideMark/>
          </w:tcPr>
          <w:p w:rsidR="003701B8" w:rsidRPr="003701B8" w:rsidRDefault="003701B8" w:rsidP="003701B8">
            <w:pPr>
              <w:widowControl/>
              <w:autoSpaceDE/>
              <w:autoSpaceDN/>
              <w:adjustRightInd/>
              <w:jc w:val="center"/>
              <w:rPr>
                <w:rFonts w:eastAsia="Times New Roman"/>
                <w:sz w:val="18"/>
                <w:szCs w:val="18"/>
              </w:rPr>
            </w:pPr>
            <w:r w:rsidRPr="003701B8">
              <w:rPr>
                <w:rFonts w:eastAsia="Times New Roman"/>
                <w:sz w:val="18"/>
                <w:szCs w:val="18"/>
              </w:rPr>
              <w:t>4.0</w:t>
            </w:r>
          </w:p>
        </w:tc>
      </w:tr>
      <w:tr w:rsidR="00113BCB" w:rsidRPr="003701B8" w:rsidTr="00113BCB">
        <w:trPr>
          <w:trHeight w:val="255"/>
        </w:trPr>
        <w:tc>
          <w:tcPr>
            <w:tcW w:w="5325" w:type="dxa"/>
            <w:gridSpan w:val="6"/>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r w:rsidRPr="003701B8">
              <w:rPr>
                <w:rFonts w:eastAsia="Times New Roman"/>
                <w:sz w:val="18"/>
                <w:szCs w:val="18"/>
              </w:rPr>
              <w:t>*Climbing Grade can be located anywhere throughout the entire work zone project.</w:t>
            </w:r>
          </w:p>
        </w:tc>
        <w:tc>
          <w:tcPr>
            <w:tcW w:w="720" w:type="dxa"/>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3"/>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3"/>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630" w:type="dxa"/>
            <w:gridSpan w:val="3"/>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720"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c>
          <w:tcPr>
            <w:tcW w:w="648" w:type="dxa"/>
            <w:gridSpan w:val="2"/>
            <w:tcBorders>
              <w:top w:val="nil"/>
              <w:left w:val="nil"/>
              <w:bottom w:val="nil"/>
              <w:right w:val="nil"/>
            </w:tcBorders>
            <w:shd w:val="clear" w:color="auto" w:fill="auto"/>
            <w:noWrap/>
            <w:vAlign w:val="bottom"/>
            <w:hideMark/>
          </w:tcPr>
          <w:p w:rsidR="003701B8" w:rsidRPr="003701B8" w:rsidRDefault="003701B8" w:rsidP="003701B8">
            <w:pPr>
              <w:widowControl/>
              <w:autoSpaceDE/>
              <w:autoSpaceDN/>
              <w:adjustRightInd/>
              <w:rPr>
                <w:rFonts w:eastAsia="Times New Roman"/>
                <w:sz w:val="18"/>
                <w:szCs w:val="18"/>
              </w:rPr>
            </w:pPr>
          </w:p>
        </w:tc>
      </w:tr>
    </w:tbl>
    <w:p w:rsidR="00ED707F" w:rsidRDefault="00ED707F" w:rsidP="00ED707F">
      <w:pPr>
        <w:pStyle w:val="Default"/>
      </w:pPr>
    </w:p>
    <w:p w:rsidR="00D0544D" w:rsidRDefault="00D0544D" w:rsidP="00D0544D">
      <w:pPr>
        <w:pStyle w:val="Default"/>
        <w:rPr>
          <w:rFonts w:eastAsia="Times New Roman"/>
          <w:bCs/>
        </w:rPr>
      </w:pPr>
      <w:r>
        <w:rPr>
          <w:rFonts w:eastAsia="Times New Roman"/>
          <w:bCs/>
        </w:rPr>
        <w:t>I</w:t>
      </w:r>
      <w:r w:rsidRPr="003D2E7B">
        <w:rPr>
          <w:rFonts w:eastAsia="Times New Roman"/>
          <w:bCs/>
        </w:rPr>
        <w:t xml:space="preserve">nterstate, </w:t>
      </w:r>
      <w:r>
        <w:rPr>
          <w:rFonts w:eastAsia="Times New Roman"/>
          <w:bCs/>
        </w:rPr>
        <w:t>f</w:t>
      </w:r>
      <w:r w:rsidRPr="003D2E7B">
        <w:rPr>
          <w:rFonts w:eastAsia="Times New Roman"/>
          <w:bCs/>
        </w:rPr>
        <w:t xml:space="preserve">reeway, and </w:t>
      </w:r>
      <w:r>
        <w:rPr>
          <w:rFonts w:eastAsia="Times New Roman"/>
          <w:bCs/>
        </w:rPr>
        <w:t>m</w:t>
      </w:r>
      <w:r w:rsidRPr="003D2E7B">
        <w:rPr>
          <w:rFonts w:eastAsia="Times New Roman"/>
          <w:bCs/>
        </w:rPr>
        <w:t xml:space="preserve">ulti-lane </w:t>
      </w:r>
      <w:r>
        <w:rPr>
          <w:rFonts w:eastAsia="Times New Roman"/>
          <w:bCs/>
        </w:rPr>
        <w:t>r</w:t>
      </w:r>
      <w:r w:rsidRPr="003D2E7B">
        <w:rPr>
          <w:rFonts w:eastAsia="Times New Roman"/>
          <w:bCs/>
        </w:rPr>
        <w:t>oadways</w:t>
      </w:r>
      <w:r>
        <w:rPr>
          <w:rFonts w:eastAsia="Times New Roman"/>
          <w:bCs/>
        </w:rPr>
        <w:t xml:space="preserve"> with a continuous climbing grade may reduce the work zone roadway capacity, especially when large percentages of heavy vehicles (trucks, buses, RV, etc.) are present.  If the grades are steep and long enough, the heavier vehicles speed may be reduce to a “crawl” speed.  To help identify equivalent trucks; this table was developed to easily estimate the Highway Capacity Manual calculations.  The necessary data needed for the table are climbing grades, length of the grade, and percent of trucks.  </w:t>
      </w:r>
    </w:p>
    <w:p w:rsidR="00D0544D" w:rsidRDefault="00D0544D" w:rsidP="00D0544D">
      <w:pPr>
        <w:pStyle w:val="Default"/>
        <w:rPr>
          <w:rFonts w:eastAsia="Times New Roman"/>
          <w:bCs/>
        </w:rPr>
      </w:pPr>
    </w:p>
    <w:p w:rsidR="00ED707F" w:rsidRDefault="00D0544D" w:rsidP="00ED707F">
      <w:pPr>
        <w:pStyle w:val="Default"/>
      </w:pPr>
      <w:r>
        <w:rPr>
          <w:rFonts w:eastAsia="Times New Roman"/>
          <w:bCs/>
        </w:rPr>
        <w:t xml:space="preserve">An example of the table is shown above.  To locate the </w:t>
      </w:r>
      <w:r w:rsidR="00A84CC9">
        <w:rPr>
          <w:rFonts w:eastAsia="Times New Roman"/>
          <w:bCs/>
        </w:rPr>
        <w:t xml:space="preserve">Equivalent Truck </w:t>
      </w:r>
      <w:r w:rsidR="00E97C25">
        <w:rPr>
          <w:rFonts w:eastAsia="Times New Roman"/>
          <w:bCs/>
        </w:rPr>
        <w:t>value</w:t>
      </w:r>
      <w:r>
        <w:rPr>
          <w:rFonts w:eastAsia="Times New Roman"/>
          <w:bCs/>
        </w:rPr>
        <w:t xml:space="preserve"> (Green) with the following criteria: grade of 3.5%, length is less than ½ mile, and 30% trucks (located in blue).</w:t>
      </w:r>
    </w:p>
    <w:p w:rsidR="00ED707F" w:rsidRDefault="00ED707F" w:rsidP="00ED707F">
      <w:pPr>
        <w:pStyle w:val="Default"/>
      </w:pPr>
    </w:p>
    <w:p w:rsidR="001F47C6" w:rsidRDefault="001F47C6">
      <w:pPr>
        <w:pStyle w:val="Default"/>
      </w:pPr>
    </w:p>
    <w:p w:rsidR="00087BFD" w:rsidRDefault="00087BFD">
      <w:pPr>
        <w:pStyle w:val="Default"/>
      </w:pPr>
    </w:p>
    <w:p w:rsidR="00087BFD" w:rsidRDefault="00087BFD">
      <w:pPr>
        <w:pStyle w:val="Default"/>
      </w:pPr>
    </w:p>
    <w:p w:rsidR="00087BFD" w:rsidRDefault="00087BFD">
      <w:pPr>
        <w:pStyle w:val="Default"/>
      </w:pPr>
    </w:p>
    <w:p w:rsidR="004F56A2" w:rsidRPr="00B02251" w:rsidRDefault="004F56A2" w:rsidP="00B02251">
      <w:pPr>
        <w:jc w:val="center"/>
        <w:rPr>
          <w:rFonts w:eastAsia="Times New Roman"/>
          <w:sz w:val="28"/>
          <w:szCs w:val="28"/>
        </w:rPr>
      </w:pPr>
      <w:r w:rsidRPr="00B02251">
        <w:rPr>
          <w:rFonts w:eastAsia="Times New Roman"/>
          <w:b/>
          <w:bCs/>
          <w:sz w:val="28"/>
          <w:szCs w:val="28"/>
        </w:rPr>
        <w:lastRenderedPageBreak/>
        <w:t>M</w:t>
      </w:r>
      <w:r w:rsidR="006C7976">
        <w:rPr>
          <w:rFonts w:eastAsia="Times New Roman"/>
          <w:b/>
          <w:bCs/>
          <w:sz w:val="28"/>
          <w:szCs w:val="28"/>
        </w:rPr>
        <w:t xml:space="preserve">oDOT’s </w:t>
      </w:r>
      <w:r w:rsidRPr="00B02251">
        <w:rPr>
          <w:rFonts w:eastAsia="Times New Roman"/>
          <w:b/>
          <w:bCs/>
          <w:sz w:val="28"/>
          <w:szCs w:val="28"/>
        </w:rPr>
        <w:t xml:space="preserve">Work Zone Impact </w:t>
      </w:r>
      <w:r w:rsidR="006C7976">
        <w:rPr>
          <w:rFonts w:eastAsia="Times New Roman"/>
          <w:b/>
          <w:bCs/>
          <w:sz w:val="28"/>
          <w:szCs w:val="28"/>
        </w:rPr>
        <w:t xml:space="preserve">Analysis </w:t>
      </w:r>
      <w:r w:rsidRPr="00B02251">
        <w:rPr>
          <w:rFonts w:eastAsia="Times New Roman"/>
          <w:b/>
          <w:bCs/>
          <w:sz w:val="28"/>
          <w:szCs w:val="28"/>
        </w:rPr>
        <w:t>Spreadsheet</w:t>
      </w:r>
      <w:r w:rsidR="006C7976">
        <w:rPr>
          <w:rFonts w:eastAsia="Times New Roman"/>
          <w:b/>
          <w:bCs/>
          <w:sz w:val="28"/>
          <w:szCs w:val="28"/>
        </w:rPr>
        <w:t xml:space="preserve"> Directions</w:t>
      </w:r>
    </w:p>
    <w:p w:rsidR="004F56A2" w:rsidRPr="00CB3C5F" w:rsidRDefault="004F56A2" w:rsidP="004F56A2">
      <w:pPr>
        <w:rPr>
          <w:rFonts w:eastAsia="Times New Roman"/>
        </w:rPr>
      </w:pPr>
      <w:r>
        <w:rPr>
          <w:rFonts w:eastAsia="Times New Roman"/>
        </w:rPr>
        <w:t>T</w:t>
      </w:r>
      <w:r w:rsidRPr="00CB3C5F">
        <w:rPr>
          <w:rFonts w:eastAsia="Times New Roman"/>
        </w:rPr>
        <w:t>he following steps will describe the process of running the program and review the output information</w:t>
      </w:r>
      <w:r w:rsidR="009B0E0F">
        <w:rPr>
          <w:rFonts w:eastAsia="Times New Roman"/>
        </w:rPr>
        <w:t xml:space="preserve"> </w:t>
      </w:r>
      <w:r w:rsidR="009C341F">
        <w:rPr>
          <w:rFonts w:eastAsia="Times New Roman"/>
        </w:rPr>
        <w:t xml:space="preserve">(located in Excel worksheet titled WZ </w:t>
      </w:r>
      <w:r w:rsidR="005E3426">
        <w:rPr>
          <w:rFonts w:eastAsia="Times New Roman"/>
        </w:rPr>
        <w:t xml:space="preserve">Impact Analysis </w:t>
      </w:r>
      <w:r w:rsidR="009C341F">
        <w:rPr>
          <w:rFonts w:eastAsia="Times New Roman"/>
        </w:rPr>
        <w:t>Spreadsheet).</w:t>
      </w:r>
      <w:r w:rsidRPr="00CB3C5F">
        <w:rPr>
          <w:rFonts w:eastAsia="Times New Roman"/>
        </w:rPr>
        <w:t xml:space="preserve"> </w:t>
      </w:r>
    </w:p>
    <w:p w:rsidR="004F56A2" w:rsidRDefault="004F56A2" w:rsidP="004F56A2">
      <w:pPr>
        <w:rPr>
          <w:rFonts w:eastAsia="Times New Roman"/>
          <w:b/>
          <w:bCs/>
        </w:rPr>
      </w:pPr>
      <w:r w:rsidRPr="00CB3C5F">
        <w:rPr>
          <w:rFonts w:eastAsia="Times New Roman"/>
        </w:rPr>
        <w:t> </w:t>
      </w:r>
    </w:p>
    <w:p w:rsidR="004F56A2" w:rsidRPr="00CB3C5F" w:rsidRDefault="004F56A2" w:rsidP="004F56A2">
      <w:pPr>
        <w:rPr>
          <w:rFonts w:eastAsia="Times New Roman"/>
        </w:rPr>
      </w:pPr>
      <w:r w:rsidRPr="00CB3C5F">
        <w:rPr>
          <w:rFonts w:eastAsia="Times New Roman"/>
          <w:b/>
          <w:bCs/>
        </w:rPr>
        <w:t>Step 1: Number of Lanes, Truck Percentage, Work Zone Capacity, and User Cost.</w:t>
      </w:r>
      <w:r w:rsidRPr="00CB3C5F">
        <w:rPr>
          <w:rFonts w:eastAsia="Times New Roman"/>
        </w:rPr>
        <w:t xml:space="preserve"> </w:t>
      </w:r>
    </w:p>
    <w:p w:rsidR="004F56A2" w:rsidRPr="00AC2AEE" w:rsidRDefault="004F56A2" w:rsidP="004F56A2">
      <w:pPr>
        <w:rPr>
          <w:rFonts w:ascii="Times New Roman" w:eastAsia="Times New Roman" w:hAnsi="Times New Roman" w:cs="Times New Roman"/>
        </w:rPr>
      </w:pPr>
      <w:r w:rsidRPr="00AC2AEE">
        <w:rPr>
          <w:rFonts w:ascii="Times New Roman" w:eastAsia="Times New Roman" w:hAnsi="Times New Roman" w:cs="Times New Roman"/>
        </w:rPr>
        <w:t xml:space="preserve">  </w:t>
      </w:r>
    </w:p>
    <w:tbl>
      <w:tblPr>
        <w:tblW w:w="10505" w:type="dxa"/>
        <w:jc w:val="center"/>
        <w:tblCellSpacing w:w="0" w:type="dxa"/>
        <w:tblInd w:w="-304" w:type="dxa"/>
        <w:tblCellMar>
          <w:top w:w="15" w:type="dxa"/>
          <w:left w:w="15" w:type="dxa"/>
          <w:bottom w:w="15" w:type="dxa"/>
          <w:right w:w="15" w:type="dxa"/>
        </w:tblCellMar>
        <w:tblLook w:val="04A0"/>
      </w:tblPr>
      <w:tblGrid>
        <w:gridCol w:w="552"/>
        <w:gridCol w:w="695"/>
        <w:gridCol w:w="414"/>
        <w:gridCol w:w="2377"/>
        <w:gridCol w:w="1072"/>
        <w:gridCol w:w="1944"/>
        <w:gridCol w:w="591"/>
        <w:gridCol w:w="612"/>
        <w:gridCol w:w="326"/>
        <w:gridCol w:w="200"/>
        <w:gridCol w:w="529"/>
        <w:gridCol w:w="269"/>
        <w:gridCol w:w="90"/>
        <w:gridCol w:w="246"/>
        <w:gridCol w:w="344"/>
        <w:gridCol w:w="244"/>
      </w:tblGrid>
      <w:tr w:rsidR="004F56A2" w:rsidRPr="00AC2AEE" w:rsidTr="007E3CC4">
        <w:trPr>
          <w:trHeight w:val="543"/>
          <w:tblCellSpacing w:w="0" w:type="dxa"/>
          <w:jc w:val="center"/>
        </w:trPr>
        <w:tc>
          <w:tcPr>
            <w:tcW w:w="10261" w:type="dxa"/>
            <w:gridSpan w:val="15"/>
            <w:shd w:val="clear" w:color="auto" w:fill="FFFFFF"/>
            <w:hideMark/>
          </w:tcPr>
          <w:p w:rsidR="004F56A2" w:rsidRPr="00AC2AEE" w:rsidRDefault="004F56A2" w:rsidP="00A30CDC">
            <w:pPr>
              <w:rPr>
                <w:rFonts w:ascii="Times New Roman" w:eastAsia="Times New Roman" w:hAnsi="Times New Roman" w:cs="Times New Roman"/>
                <w:color w:val="993300"/>
              </w:rPr>
            </w:pPr>
            <w:r w:rsidRPr="00AC2AEE">
              <w:rPr>
                <w:rFonts w:eastAsia="Times New Roman"/>
                <w:color w:val="993300"/>
                <w:sz w:val="36"/>
                <w:szCs w:val="36"/>
              </w:rPr>
              <w:t>MoDOT WORK ZONE IMPACT ANALYSIS SPREADSHEET</w:t>
            </w:r>
            <w:r w:rsidRPr="00AC2AEE">
              <w:rPr>
                <w:rFonts w:ascii="Times New Roman" w:eastAsia="Times New Roman" w:hAnsi="Times New Roman" w:cs="Times New Roman"/>
                <w:color w:val="993300"/>
              </w:rPr>
              <w:t xml:space="preserve"> </w:t>
            </w:r>
          </w:p>
        </w:tc>
        <w:tc>
          <w:tcPr>
            <w:tcW w:w="2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7E3CC4" w:rsidRPr="00AC2AEE" w:rsidTr="007E3CC4">
        <w:trPr>
          <w:trHeight w:val="297"/>
          <w:tblCellSpacing w:w="0" w:type="dxa"/>
          <w:jc w:val="center"/>
        </w:trPr>
        <w:tc>
          <w:tcPr>
            <w:tcW w:w="552"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69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414"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377"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072"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3473" w:type="dxa"/>
            <w:gridSpan w:val="4"/>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0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798" w:type="dxa"/>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0" w:type="auto"/>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588" w:type="dxa"/>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7E3CC4" w:rsidRPr="00AC2AEE" w:rsidTr="007E3CC4">
        <w:trPr>
          <w:trHeight w:val="281"/>
          <w:tblCellSpacing w:w="0" w:type="dxa"/>
          <w:jc w:val="center"/>
        </w:trPr>
        <w:tc>
          <w:tcPr>
            <w:tcW w:w="552" w:type="dxa"/>
            <w:shd w:val="clear" w:color="auto" w:fill="FFFFFF"/>
            <w:hideMark/>
          </w:tcPr>
          <w:p w:rsidR="004F56A2" w:rsidRPr="00AC2AEE" w:rsidRDefault="004F56A2" w:rsidP="00A30CDC">
            <w:pPr>
              <w:rPr>
                <w:rFonts w:ascii="Times New Roman" w:eastAsia="Times New Roman" w:hAnsi="Times New Roman" w:cs="Times New Roman"/>
              </w:rPr>
            </w:pPr>
          </w:p>
        </w:tc>
        <w:tc>
          <w:tcPr>
            <w:tcW w:w="3486" w:type="dxa"/>
            <w:gridSpan w:val="3"/>
            <w:shd w:val="clear" w:color="auto" w:fill="33CCCC"/>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TOTAL NUMBER OF LANES</w:t>
            </w:r>
          </w:p>
        </w:tc>
        <w:tc>
          <w:tcPr>
            <w:tcW w:w="1072" w:type="dxa"/>
            <w:shd w:val="clear" w:color="auto" w:fill="33CCCC"/>
            <w:hideMark/>
          </w:tcPr>
          <w:p w:rsidR="004F56A2" w:rsidRPr="00AC2AEE" w:rsidRDefault="004F56A2" w:rsidP="00A30CDC">
            <w:pPr>
              <w:jc w:val="center"/>
              <w:rPr>
                <w:rFonts w:ascii="Times New Roman" w:eastAsia="Times New Roman" w:hAnsi="Times New Roman" w:cs="Times New Roman"/>
              </w:rPr>
            </w:pPr>
            <w:r w:rsidRPr="00AC2AEE">
              <w:rPr>
                <w:rFonts w:eastAsia="Times New Roman"/>
                <w:b/>
                <w:bCs/>
                <w:color w:val="000000"/>
                <w:sz w:val="20"/>
                <w:szCs w:val="20"/>
              </w:rPr>
              <w:t>2</w:t>
            </w:r>
          </w:p>
        </w:tc>
        <w:tc>
          <w:tcPr>
            <w:tcW w:w="3673" w:type="dxa"/>
            <w:gridSpan w:val="5"/>
            <w:shd w:val="clear" w:color="auto" w:fill="33CCCC"/>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NUMBER OF LANES OPEN</w:t>
            </w:r>
          </w:p>
        </w:tc>
        <w:tc>
          <w:tcPr>
            <w:tcW w:w="798" w:type="dxa"/>
            <w:gridSpan w:val="2"/>
            <w:shd w:val="clear" w:color="auto" w:fill="33CCCC"/>
            <w:hideMark/>
          </w:tcPr>
          <w:p w:rsidR="004F56A2" w:rsidRPr="00AC2AEE" w:rsidRDefault="004F56A2" w:rsidP="00A30CDC">
            <w:pPr>
              <w:jc w:val="center"/>
              <w:rPr>
                <w:rFonts w:ascii="Times New Roman" w:eastAsia="Times New Roman" w:hAnsi="Times New Roman" w:cs="Times New Roman"/>
              </w:rPr>
            </w:pPr>
            <w:r w:rsidRPr="00AC2AEE">
              <w:rPr>
                <w:rFonts w:eastAsia="Times New Roman"/>
                <w:b/>
                <w:bCs/>
                <w:color w:val="000000"/>
                <w:sz w:val="20"/>
                <w:szCs w:val="20"/>
              </w:rPr>
              <w:t>1</w:t>
            </w:r>
            <w:r w:rsidRPr="00AC2AEE">
              <w:rPr>
                <w:rFonts w:ascii="Times New Roman" w:eastAsia="Times New Roman" w:hAnsi="Times New Roman" w:cs="Times New Roman"/>
              </w:rPr>
              <w:t xml:space="preserve"> </w:t>
            </w:r>
          </w:p>
        </w:tc>
        <w:tc>
          <w:tcPr>
            <w:tcW w:w="0" w:type="auto"/>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46"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3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7E3CC4" w:rsidRPr="00AC2AEE" w:rsidTr="007E3CC4">
        <w:trPr>
          <w:trHeight w:val="297"/>
          <w:tblCellSpacing w:w="0" w:type="dxa"/>
          <w:jc w:val="center"/>
        </w:trPr>
        <w:tc>
          <w:tcPr>
            <w:tcW w:w="552" w:type="dxa"/>
            <w:shd w:val="clear" w:color="auto" w:fill="FFFFFF"/>
            <w:hideMark/>
          </w:tcPr>
          <w:p w:rsidR="004F56A2" w:rsidRPr="00AC2AEE" w:rsidRDefault="004F56A2" w:rsidP="00A30CDC">
            <w:pPr>
              <w:rPr>
                <w:rFonts w:ascii="Times New Roman" w:eastAsia="Times New Roman" w:hAnsi="Times New Roman" w:cs="Times New Roman"/>
              </w:rPr>
            </w:pPr>
          </w:p>
        </w:tc>
        <w:tc>
          <w:tcPr>
            <w:tcW w:w="3486" w:type="dxa"/>
            <w:gridSpan w:val="3"/>
            <w:shd w:val="clear" w:color="auto" w:fill="33CCCC"/>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TRUCK PERCENTAGE</w:t>
            </w:r>
          </w:p>
        </w:tc>
        <w:tc>
          <w:tcPr>
            <w:tcW w:w="1072" w:type="dxa"/>
            <w:shd w:val="clear" w:color="auto" w:fill="33CCCC"/>
            <w:hideMark/>
          </w:tcPr>
          <w:p w:rsidR="004F56A2" w:rsidRPr="00AC2AEE" w:rsidRDefault="004F56A2" w:rsidP="00A30CDC">
            <w:pPr>
              <w:jc w:val="center"/>
              <w:rPr>
                <w:rFonts w:ascii="Times New Roman" w:eastAsia="Times New Roman" w:hAnsi="Times New Roman" w:cs="Times New Roman"/>
              </w:rPr>
            </w:pPr>
            <w:r w:rsidRPr="00AC2AEE">
              <w:rPr>
                <w:rFonts w:eastAsia="Times New Roman"/>
                <w:b/>
                <w:bCs/>
                <w:color w:val="000000"/>
                <w:sz w:val="20"/>
                <w:szCs w:val="20"/>
              </w:rPr>
              <w:t>25</w:t>
            </w:r>
          </w:p>
        </w:tc>
        <w:tc>
          <w:tcPr>
            <w:tcW w:w="3673" w:type="dxa"/>
            <w:gridSpan w:val="5"/>
            <w:shd w:val="clear" w:color="auto" w:fill="33CCCC"/>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OPEN LANE CAPACITY</w:t>
            </w:r>
          </w:p>
        </w:tc>
        <w:tc>
          <w:tcPr>
            <w:tcW w:w="798" w:type="dxa"/>
            <w:gridSpan w:val="2"/>
            <w:shd w:val="clear" w:color="auto" w:fill="33CCCC"/>
            <w:hideMark/>
          </w:tcPr>
          <w:p w:rsidR="004F56A2" w:rsidRPr="00AC2AEE" w:rsidRDefault="004F56A2" w:rsidP="00A30CDC">
            <w:pPr>
              <w:jc w:val="center"/>
              <w:rPr>
                <w:rFonts w:ascii="Times New Roman" w:eastAsia="Times New Roman" w:hAnsi="Times New Roman" w:cs="Times New Roman"/>
              </w:rPr>
            </w:pPr>
            <w:r w:rsidRPr="00AC2AEE">
              <w:rPr>
                <w:rFonts w:eastAsia="Times New Roman"/>
                <w:b/>
                <w:bCs/>
                <w:color w:val="000000"/>
                <w:sz w:val="20"/>
                <w:szCs w:val="20"/>
              </w:rPr>
              <w:t>1600</w:t>
            </w:r>
            <w:r w:rsidRPr="00AC2AEE">
              <w:rPr>
                <w:rFonts w:ascii="Times New Roman" w:eastAsia="Times New Roman" w:hAnsi="Times New Roman" w:cs="Times New Roman"/>
              </w:rPr>
              <w:t xml:space="preserve"> </w:t>
            </w:r>
          </w:p>
        </w:tc>
        <w:tc>
          <w:tcPr>
            <w:tcW w:w="0" w:type="auto"/>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46"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3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7E3CC4" w:rsidRPr="00AC2AEE" w:rsidTr="007E3CC4">
        <w:trPr>
          <w:trHeight w:val="281"/>
          <w:tblCellSpacing w:w="0" w:type="dxa"/>
          <w:jc w:val="center"/>
        </w:trPr>
        <w:tc>
          <w:tcPr>
            <w:tcW w:w="552"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69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414"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377"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072"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3473" w:type="dxa"/>
            <w:gridSpan w:val="4"/>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0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798" w:type="dxa"/>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0" w:type="auto"/>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588" w:type="dxa"/>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7E3CC4" w:rsidRPr="00AC2AEE" w:rsidTr="006D3952">
        <w:trPr>
          <w:trHeight w:val="327"/>
          <w:tblCellSpacing w:w="0" w:type="dxa"/>
          <w:jc w:val="center"/>
        </w:trPr>
        <w:tc>
          <w:tcPr>
            <w:tcW w:w="552" w:type="dxa"/>
            <w:shd w:val="clear" w:color="auto" w:fill="FFFFFF"/>
            <w:hideMark/>
          </w:tcPr>
          <w:p w:rsidR="004F56A2" w:rsidRPr="00AC2AEE" w:rsidRDefault="004F56A2" w:rsidP="00A30CDC">
            <w:pPr>
              <w:rPr>
                <w:rFonts w:ascii="Times New Roman" w:eastAsia="Times New Roman" w:hAnsi="Times New Roman" w:cs="Times New Roman"/>
              </w:rPr>
            </w:pPr>
          </w:p>
        </w:tc>
        <w:tc>
          <w:tcPr>
            <w:tcW w:w="3486" w:type="dxa"/>
            <w:gridSpan w:val="3"/>
            <w:shd w:val="clear" w:color="auto" w:fill="33CCCC"/>
            <w:hideMark/>
          </w:tcPr>
          <w:p w:rsidR="004F56A2" w:rsidRPr="007E3CC4" w:rsidRDefault="004F56A2" w:rsidP="007E3CC4">
            <w:pPr>
              <w:rPr>
                <w:rFonts w:ascii="Times New Roman" w:eastAsia="Times New Roman" w:hAnsi="Times New Roman" w:cs="Times New Roman"/>
                <w:sz w:val="20"/>
                <w:szCs w:val="20"/>
              </w:rPr>
            </w:pPr>
            <w:r w:rsidRPr="007E3CC4">
              <w:rPr>
                <w:rFonts w:eastAsia="Times New Roman"/>
                <w:b/>
                <w:bCs/>
                <w:color w:val="000000"/>
                <w:sz w:val="20"/>
                <w:szCs w:val="20"/>
              </w:rPr>
              <w:t xml:space="preserve">TOTAL CAPACITY OF </w:t>
            </w:r>
            <w:r w:rsidR="007E3CC4" w:rsidRPr="007E3CC4">
              <w:rPr>
                <w:rFonts w:eastAsia="Times New Roman"/>
                <w:b/>
                <w:bCs/>
                <w:color w:val="000000"/>
                <w:sz w:val="20"/>
                <w:szCs w:val="20"/>
              </w:rPr>
              <w:t>W</w:t>
            </w:r>
            <w:r w:rsidRPr="007E3CC4">
              <w:rPr>
                <w:rFonts w:eastAsia="Times New Roman"/>
                <w:b/>
                <w:bCs/>
                <w:color w:val="000000"/>
                <w:sz w:val="20"/>
                <w:szCs w:val="20"/>
              </w:rPr>
              <w:t xml:space="preserve">ORKZONE </w:t>
            </w:r>
          </w:p>
        </w:tc>
        <w:tc>
          <w:tcPr>
            <w:tcW w:w="1072" w:type="dxa"/>
            <w:shd w:val="clear" w:color="auto" w:fill="33CCCC"/>
            <w:hideMark/>
          </w:tcPr>
          <w:p w:rsidR="004F56A2" w:rsidRPr="00AC2AEE" w:rsidRDefault="004F56A2" w:rsidP="007E3CC4">
            <w:pPr>
              <w:jc w:val="center"/>
              <w:rPr>
                <w:rFonts w:ascii="Times New Roman" w:eastAsia="Times New Roman" w:hAnsi="Times New Roman" w:cs="Times New Roman"/>
              </w:rPr>
            </w:pPr>
            <w:r w:rsidRPr="00AC2AEE">
              <w:rPr>
                <w:rFonts w:eastAsia="Times New Roman"/>
                <w:b/>
                <w:bCs/>
                <w:color w:val="000000"/>
                <w:sz w:val="20"/>
                <w:szCs w:val="20"/>
              </w:rPr>
              <w:t>1240</w:t>
            </w:r>
          </w:p>
        </w:tc>
        <w:tc>
          <w:tcPr>
            <w:tcW w:w="3473" w:type="dxa"/>
            <w:gridSpan w:val="4"/>
            <w:shd w:val="clear" w:color="auto" w:fill="FFFFFF"/>
            <w:hideMark/>
          </w:tcPr>
          <w:p w:rsidR="004F56A2" w:rsidRPr="00AC2AEE" w:rsidRDefault="004F56A2" w:rsidP="00A30CDC">
            <w:pPr>
              <w:rPr>
                <w:rFonts w:ascii="Times New Roman" w:eastAsia="Times New Roman" w:hAnsi="Times New Roman" w:cs="Times New Roman"/>
              </w:rPr>
            </w:pPr>
          </w:p>
        </w:tc>
        <w:tc>
          <w:tcPr>
            <w:tcW w:w="200" w:type="dxa"/>
            <w:shd w:val="clear" w:color="auto" w:fill="FFFFFF"/>
            <w:hideMark/>
          </w:tcPr>
          <w:p w:rsidR="004F56A2" w:rsidRPr="00AC2AEE" w:rsidRDefault="004F56A2" w:rsidP="00A30CDC">
            <w:pPr>
              <w:jc w:val="right"/>
              <w:rPr>
                <w:rFonts w:ascii="Times New Roman" w:eastAsia="Times New Roman" w:hAnsi="Times New Roman" w:cs="Times New Roman"/>
              </w:rPr>
            </w:pPr>
          </w:p>
        </w:tc>
        <w:tc>
          <w:tcPr>
            <w:tcW w:w="888" w:type="dxa"/>
            <w:gridSpan w:val="3"/>
            <w:shd w:val="clear" w:color="auto" w:fill="FFFFFF"/>
            <w:hideMark/>
          </w:tcPr>
          <w:p w:rsidR="004F56A2" w:rsidRPr="00AC2AEE" w:rsidRDefault="004F56A2" w:rsidP="00A30CDC">
            <w:pPr>
              <w:rPr>
                <w:rFonts w:ascii="Times New Roman" w:eastAsia="Times New Roman" w:hAnsi="Times New Roman" w:cs="Times New Roman"/>
              </w:rPr>
            </w:pPr>
          </w:p>
        </w:tc>
        <w:tc>
          <w:tcPr>
            <w:tcW w:w="246" w:type="dxa"/>
            <w:shd w:val="clear" w:color="auto" w:fill="FFFFFF"/>
            <w:hideMark/>
          </w:tcPr>
          <w:p w:rsidR="004F56A2" w:rsidRPr="00AC2AEE" w:rsidRDefault="004F56A2" w:rsidP="00A30CDC">
            <w:pPr>
              <w:rPr>
                <w:rFonts w:ascii="Times New Roman" w:eastAsia="Times New Roman" w:hAnsi="Times New Roman" w:cs="Times New Roman"/>
              </w:rPr>
            </w:pPr>
          </w:p>
        </w:tc>
        <w:tc>
          <w:tcPr>
            <w:tcW w:w="588" w:type="dxa"/>
            <w:gridSpan w:val="2"/>
            <w:shd w:val="clear" w:color="auto" w:fill="FFFFFF"/>
            <w:hideMark/>
          </w:tcPr>
          <w:p w:rsidR="004F56A2" w:rsidRPr="00AC2AEE" w:rsidRDefault="004F56A2" w:rsidP="00A30CDC">
            <w:pPr>
              <w:rPr>
                <w:rFonts w:ascii="Times New Roman" w:eastAsia="Times New Roman" w:hAnsi="Times New Roman" w:cs="Times New Roman"/>
              </w:rPr>
            </w:pPr>
          </w:p>
        </w:tc>
      </w:tr>
      <w:tr w:rsidR="004F56A2" w:rsidRPr="00AC2AEE" w:rsidTr="007E3CC4">
        <w:trPr>
          <w:trHeight w:val="484"/>
          <w:tblCellSpacing w:w="0" w:type="dxa"/>
          <w:jc w:val="center"/>
        </w:trPr>
        <w:tc>
          <w:tcPr>
            <w:tcW w:w="552" w:type="dxa"/>
            <w:shd w:val="clear" w:color="auto" w:fill="FFFFFF"/>
            <w:hideMark/>
          </w:tcPr>
          <w:p w:rsidR="004F56A2" w:rsidRPr="00AC2AEE" w:rsidRDefault="004F56A2" w:rsidP="00A30CDC">
            <w:pPr>
              <w:rPr>
                <w:rFonts w:ascii="Times New Roman" w:eastAsia="Times New Roman" w:hAnsi="Times New Roman" w:cs="Times New Roman"/>
              </w:rPr>
            </w:pPr>
          </w:p>
        </w:tc>
        <w:tc>
          <w:tcPr>
            <w:tcW w:w="9709" w:type="dxa"/>
            <w:gridSpan w:val="14"/>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(The capacity value is consistent with MoDOT's recommended value for the chosen lane configuration)</w:t>
            </w:r>
            <w:r w:rsidRPr="00AC2AEE">
              <w:rPr>
                <w:rFonts w:ascii="Times New Roman" w:eastAsia="Times New Roman" w:hAnsi="Times New Roman" w:cs="Times New Roman"/>
              </w:rPr>
              <w:t xml:space="preserve"> </w:t>
            </w:r>
          </w:p>
        </w:tc>
        <w:tc>
          <w:tcPr>
            <w:tcW w:w="2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7E3CC4" w:rsidRPr="00AC2AEE" w:rsidTr="007E3CC4">
        <w:trPr>
          <w:trHeight w:val="297"/>
          <w:tblCellSpacing w:w="0" w:type="dxa"/>
          <w:jc w:val="center"/>
        </w:trPr>
        <w:tc>
          <w:tcPr>
            <w:tcW w:w="552"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69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414"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377"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072"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3473" w:type="dxa"/>
            <w:gridSpan w:val="4"/>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0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529"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0" w:type="auto"/>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590" w:type="dxa"/>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7E3CC4" w:rsidRPr="00AC2AEE" w:rsidTr="007E3CC4">
        <w:trPr>
          <w:trHeight w:val="281"/>
          <w:tblCellSpacing w:w="0" w:type="dxa"/>
          <w:jc w:val="center"/>
        </w:trPr>
        <w:tc>
          <w:tcPr>
            <w:tcW w:w="552" w:type="dxa"/>
            <w:shd w:val="clear" w:color="auto" w:fill="FFFFFF"/>
            <w:hideMark/>
          </w:tcPr>
          <w:p w:rsidR="004F56A2" w:rsidRPr="00AC2AEE" w:rsidRDefault="004F56A2" w:rsidP="00A30CDC">
            <w:pPr>
              <w:rPr>
                <w:rFonts w:ascii="Times New Roman" w:eastAsia="Times New Roman" w:hAnsi="Times New Roman" w:cs="Times New Roman"/>
              </w:rPr>
            </w:pPr>
          </w:p>
        </w:tc>
        <w:tc>
          <w:tcPr>
            <w:tcW w:w="1109" w:type="dxa"/>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USER</w:t>
            </w:r>
          </w:p>
        </w:tc>
        <w:tc>
          <w:tcPr>
            <w:tcW w:w="2377"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 xml:space="preserve">TRUCKS </w:t>
            </w:r>
          </w:p>
        </w:tc>
        <w:tc>
          <w:tcPr>
            <w:tcW w:w="1072" w:type="dxa"/>
            <w:shd w:val="clear" w:color="auto" w:fill="FFFFFF"/>
            <w:hideMark/>
          </w:tcPr>
          <w:p w:rsidR="004F56A2" w:rsidRPr="00AC2AEE" w:rsidRDefault="004F56A2" w:rsidP="00B02251">
            <w:pPr>
              <w:jc w:val="right"/>
              <w:rPr>
                <w:rFonts w:ascii="Times New Roman" w:eastAsia="Times New Roman" w:hAnsi="Times New Roman" w:cs="Times New Roman"/>
              </w:rPr>
            </w:pPr>
            <w:r w:rsidRPr="00AC2AEE">
              <w:rPr>
                <w:rFonts w:eastAsia="Times New Roman"/>
                <w:b/>
                <w:bCs/>
                <w:color w:val="000000"/>
                <w:sz w:val="20"/>
                <w:szCs w:val="20"/>
              </w:rPr>
              <w:t>$</w:t>
            </w:r>
            <w:r w:rsidR="00B02251">
              <w:rPr>
                <w:rFonts w:eastAsia="Times New Roman"/>
                <w:b/>
                <w:bCs/>
                <w:color w:val="000000"/>
                <w:sz w:val="20"/>
                <w:szCs w:val="20"/>
              </w:rPr>
              <w:t>22</w:t>
            </w:r>
            <w:r w:rsidRPr="00AC2AEE">
              <w:rPr>
                <w:rFonts w:eastAsia="Times New Roman"/>
                <w:b/>
                <w:bCs/>
                <w:color w:val="000000"/>
                <w:sz w:val="20"/>
                <w:szCs w:val="20"/>
              </w:rPr>
              <w:t>.</w:t>
            </w:r>
            <w:r w:rsidR="00B02251">
              <w:rPr>
                <w:rFonts w:eastAsia="Times New Roman"/>
                <w:b/>
                <w:bCs/>
                <w:color w:val="000000"/>
                <w:sz w:val="20"/>
                <w:szCs w:val="20"/>
              </w:rPr>
              <w:t>70</w:t>
            </w:r>
            <w:r w:rsidRPr="00AC2AEE">
              <w:rPr>
                <w:rFonts w:eastAsia="Times New Roman"/>
                <w:b/>
                <w:bCs/>
                <w:color w:val="000000"/>
                <w:sz w:val="20"/>
                <w:szCs w:val="20"/>
              </w:rPr>
              <w:t xml:space="preserve"> </w:t>
            </w:r>
          </w:p>
        </w:tc>
        <w:tc>
          <w:tcPr>
            <w:tcW w:w="3473" w:type="dxa"/>
            <w:gridSpan w:val="4"/>
            <w:shd w:val="clear" w:color="auto" w:fill="FFFFFF"/>
            <w:hideMark/>
          </w:tcPr>
          <w:p w:rsidR="004F56A2" w:rsidRPr="00AC2AEE" w:rsidRDefault="004F56A2" w:rsidP="00A30CDC">
            <w:pPr>
              <w:rPr>
                <w:rFonts w:ascii="Times New Roman" w:eastAsia="Times New Roman" w:hAnsi="Times New Roman" w:cs="Times New Roman"/>
              </w:rPr>
            </w:pPr>
          </w:p>
        </w:tc>
        <w:tc>
          <w:tcPr>
            <w:tcW w:w="200" w:type="dxa"/>
            <w:shd w:val="clear" w:color="auto" w:fill="FFFFFF"/>
            <w:hideMark/>
          </w:tcPr>
          <w:p w:rsidR="004F56A2" w:rsidRPr="00AC2AEE" w:rsidRDefault="004F56A2" w:rsidP="00A30CDC">
            <w:pPr>
              <w:rPr>
                <w:rFonts w:ascii="Times New Roman" w:eastAsia="Times New Roman" w:hAnsi="Times New Roman" w:cs="Times New Roman"/>
              </w:rPr>
            </w:pPr>
          </w:p>
        </w:tc>
        <w:tc>
          <w:tcPr>
            <w:tcW w:w="529" w:type="dxa"/>
            <w:shd w:val="clear" w:color="auto" w:fill="FFFFFF"/>
            <w:hideMark/>
          </w:tcPr>
          <w:p w:rsidR="004F56A2" w:rsidRPr="00AC2AEE" w:rsidRDefault="004F56A2" w:rsidP="00A30CDC">
            <w:pPr>
              <w:rPr>
                <w:rFonts w:ascii="Times New Roman" w:eastAsia="Times New Roman" w:hAnsi="Times New Roman" w:cs="Times New Roman"/>
              </w:rPr>
            </w:pPr>
          </w:p>
        </w:tc>
        <w:tc>
          <w:tcPr>
            <w:tcW w:w="0" w:type="auto"/>
            <w:gridSpan w:val="2"/>
            <w:shd w:val="clear" w:color="auto" w:fill="FFFFFF"/>
            <w:hideMark/>
          </w:tcPr>
          <w:p w:rsidR="004F56A2" w:rsidRPr="00AC2AEE" w:rsidRDefault="004F56A2" w:rsidP="00A30CDC">
            <w:pPr>
              <w:rPr>
                <w:rFonts w:ascii="Times New Roman" w:eastAsia="Times New Roman" w:hAnsi="Times New Roman" w:cs="Times New Roman"/>
              </w:rPr>
            </w:pPr>
          </w:p>
        </w:tc>
        <w:tc>
          <w:tcPr>
            <w:tcW w:w="590" w:type="dxa"/>
            <w:gridSpan w:val="2"/>
            <w:shd w:val="clear" w:color="auto" w:fill="FFFFFF"/>
            <w:hideMark/>
          </w:tcPr>
          <w:p w:rsidR="004F56A2" w:rsidRPr="00AC2AEE" w:rsidRDefault="004F56A2" w:rsidP="00A30CDC">
            <w:pPr>
              <w:rPr>
                <w:rFonts w:ascii="Times New Roman" w:eastAsia="Times New Roman" w:hAnsi="Times New Roman" w:cs="Times New Roman"/>
              </w:rPr>
            </w:pPr>
          </w:p>
        </w:tc>
        <w:tc>
          <w:tcPr>
            <w:tcW w:w="2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7E3CC4" w:rsidRPr="00AC2AEE" w:rsidTr="007E3CC4">
        <w:trPr>
          <w:trHeight w:val="297"/>
          <w:tblCellSpacing w:w="0" w:type="dxa"/>
          <w:jc w:val="center"/>
        </w:trPr>
        <w:tc>
          <w:tcPr>
            <w:tcW w:w="552" w:type="dxa"/>
            <w:shd w:val="clear" w:color="auto" w:fill="FFFFFF"/>
            <w:hideMark/>
          </w:tcPr>
          <w:p w:rsidR="004F56A2" w:rsidRPr="00AC2AEE" w:rsidRDefault="004F56A2" w:rsidP="00A30CDC">
            <w:pPr>
              <w:rPr>
                <w:rFonts w:ascii="Times New Roman" w:eastAsia="Times New Roman" w:hAnsi="Times New Roman" w:cs="Times New Roman"/>
              </w:rPr>
            </w:pPr>
          </w:p>
        </w:tc>
        <w:tc>
          <w:tcPr>
            <w:tcW w:w="1109" w:type="dxa"/>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COST</w:t>
            </w:r>
          </w:p>
        </w:tc>
        <w:tc>
          <w:tcPr>
            <w:tcW w:w="2377"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CARS</w:t>
            </w:r>
          </w:p>
        </w:tc>
        <w:tc>
          <w:tcPr>
            <w:tcW w:w="1072" w:type="dxa"/>
            <w:shd w:val="clear" w:color="auto" w:fill="FFFFFF"/>
            <w:hideMark/>
          </w:tcPr>
          <w:p w:rsidR="004F56A2" w:rsidRPr="00AC2AEE" w:rsidRDefault="004F56A2" w:rsidP="00B02251">
            <w:pPr>
              <w:jc w:val="right"/>
              <w:rPr>
                <w:rFonts w:ascii="Times New Roman" w:eastAsia="Times New Roman" w:hAnsi="Times New Roman" w:cs="Times New Roman"/>
              </w:rPr>
            </w:pPr>
            <w:r w:rsidRPr="00AC2AEE">
              <w:rPr>
                <w:rFonts w:eastAsia="Times New Roman"/>
                <w:b/>
                <w:bCs/>
                <w:color w:val="000000"/>
                <w:sz w:val="20"/>
                <w:szCs w:val="20"/>
              </w:rPr>
              <w:t>$</w:t>
            </w:r>
            <w:r w:rsidR="00B02251">
              <w:rPr>
                <w:rFonts w:eastAsia="Times New Roman"/>
                <w:b/>
                <w:bCs/>
                <w:color w:val="000000"/>
                <w:sz w:val="20"/>
                <w:szCs w:val="20"/>
              </w:rPr>
              <w:t>10</w:t>
            </w:r>
            <w:r w:rsidRPr="00AC2AEE">
              <w:rPr>
                <w:rFonts w:eastAsia="Times New Roman"/>
                <w:b/>
                <w:bCs/>
                <w:color w:val="000000"/>
                <w:sz w:val="20"/>
                <w:szCs w:val="20"/>
              </w:rPr>
              <w:t>.3</w:t>
            </w:r>
            <w:r w:rsidR="00B02251">
              <w:rPr>
                <w:rFonts w:eastAsia="Times New Roman"/>
                <w:b/>
                <w:bCs/>
                <w:color w:val="000000"/>
                <w:sz w:val="20"/>
                <w:szCs w:val="20"/>
              </w:rPr>
              <w:t>0</w:t>
            </w:r>
            <w:r w:rsidRPr="00AC2AEE">
              <w:rPr>
                <w:rFonts w:eastAsia="Times New Roman"/>
                <w:b/>
                <w:bCs/>
                <w:color w:val="000000"/>
                <w:sz w:val="20"/>
                <w:szCs w:val="20"/>
              </w:rPr>
              <w:t xml:space="preserve"> </w:t>
            </w:r>
          </w:p>
        </w:tc>
        <w:tc>
          <w:tcPr>
            <w:tcW w:w="1944"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591"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612"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526" w:type="dxa"/>
            <w:gridSpan w:val="2"/>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529"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69"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0" w:type="auto"/>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46"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3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244" w:type="dxa"/>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bl>
    <w:p w:rsidR="004F56A2" w:rsidRPr="00AC2AEE" w:rsidRDefault="004F56A2" w:rsidP="004F56A2">
      <w:pPr>
        <w:rPr>
          <w:rFonts w:ascii="Times New Roman" w:eastAsia="Times New Roman" w:hAnsi="Times New Roman" w:cs="Times New Roman"/>
        </w:rPr>
      </w:pPr>
      <w:r w:rsidRPr="00AC2AEE">
        <w:rPr>
          <w:rFonts w:ascii="Times New Roman" w:eastAsia="Times New Roman" w:hAnsi="Times New Roman" w:cs="Times New Roman"/>
        </w:rPr>
        <w:t xml:space="preserve">  </w:t>
      </w:r>
    </w:p>
    <w:p w:rsidR="006C7976" w:rsidRDefault="004F56A2" w:rsidP="004F56A2">
      <w:pPr>
        <w:rPr>
          <w:rFonts w:eastAsia="Times New Roman"/>
          <w:shd w:val="clear" w:color="auto" w:fill="FFFFFF"/>
        </w:rPr>
      </w:pPr>
      <w:r w:rsidRPr="00CB3C5F">
        <w:rPr>
          <w:rFonts w:eastAsia="Times New Roman"/>
          <w:shd w:val="clear" w:color="auto" w:fill="FFFFFF"/>
        </w:rPr>
        <w:t xml:space="preserve">The information in the blue section is required for the spreadsheet. </w:t>
      </w:r>
      <w:r w:rsidR="005B6B63">
        <w:rPr>
          <w:rFonts w:eastAsia="Times New Roman"/>
          <w:shd w:val="clear" w:color="auto" w:fill="FFFFFF"/>
        </w:rPr>
        <w:t>T</w:t>
      </w:r>
      <w:r w:rsidRPr="00CB3C5F">
        <w:rPr>
          <w:rFonts w:eastAsia="Times New Roman"/>
          <w:shd w:val="clear" w:color="auto" w:fill="FFFFFF"/>
        </w:rPr>
        <w:t xml:space="preserve">he </w:t>
      </w:r>
      <w:r w:rsidR="00725A70" w:rsidRPr="00725A70">
        <w:rPr>
          <w:rFonts w:eastAsia="Times New Roman"/>
          <w:i/>
          <w:shd w:val="clear" w:color="auto" w:fill="FFFFFF"/>
        </w:rPr>
        <w:t xml:space="preserve">Total </w:t>
      </w:r>
      <w:r w:rsidRPr="00CB3C5F">
        <w:rPr>
          <w:rFonts w:eastAsia="Times New Roman"/>
          <w:i/>
          <w:shd w:val="clear" w:color="auto" w:fill="FFFFFF"/>
        </w:rPr>
        <w:t>Number of Lanes</w:t>
      </w:r>
      <w:r w:rsidRPr="00CB3C5F">
        <w:rPr>
          <w:rFonts w:eastAsia="Times New Roman"/>
          <w:shd w:val="clear" w:color="auto" w:fill="FFFFFF"/>
        </w:rPr>
        <w:t xml:space="preserve"> and </w:t>
      </w:r>
      <w:r w:rsidR="00725A70" w:rsidRPr="00725A70">
        <w:rPr>
          <w:rFonts w:eastAsia="Times New Roman"/>
          <w:i/>
          <w:shd w:val="clear" w:color="auto" w:fill="FFFFFF"/>
        </w:rPr>
        <w:t xml:space="preserve">Number of </w:t>
      </w:r>
      <w:r w:rsidRPr="00CB3C5F">
        <w:rPr>
          <w:rFonts w:eastAsia="Times New Roman"/>
          <w:i/>
          <w:shd w:val="clear" w:color="auto" w:fill="FFFFFF"/>
        </w:rPr>
        <w:t>Lanes Open</w:t>
      </w:r>
      <w:r w:rsidRPr="00CB3C5F">
        <w:rPr>
          <w:rFonts w:eastAsia="Times New Roman"/>
          <w:shd w:val="clear" w:color="auto" w:fill="FFFFFF"/>
        </w:rPr>
        <w:t xml:space="preserve"> fields are filled in</w:t>
      </w:r>
      <w:r w:rsidR="005B6B63">
        <w:rPr>
          <w:rFonts w:eastAsia="Times New Roman"/>
          <w:shd w:val="clear" w:color="auto" w:fill="FFFFFF"/>
        </w:rPr>
        <w:t xml:space="preserve"> with the appropriate number of lanes.  </w:t>
      </w:r>
      <w:r w:rsidR="00410645">
        <w:t xml:space="preserve">The </w:t>
      </w:r>
      <w:r w:rsidR="00ED707F" w:rsidRPr="00ED707F">
        <w:rPr>
          <w:i/>
        </w:rPr>
        <w:t>Truck Percentage</w:t>
      </w:r>
      <w:r w:rsidR="00410645">
        <w:t xml:space="preserve"> is a comparison between number of trucks and the total number of </w:t>
      </w:r>
      <w:proofErr w:type="gramStart"/>
      <w:r w:rsidR="00410645">
        <w:t>vehicles</w:t>
      </w:r>
      <w:r w:rsidR="00725A70">
        <w:rPr>
          <w:rFonts w:eastAsia="Times New Roman"/>
          <w:shd w:val="clear" w:color="auto" w:fill="FFFFFF"/>
        </w:rPr>
        <w:t xml:space="preserve">  </w:t>
      </w:r>
      <w:r w:rsidR="00ED707F" w:rsidRPr="00ED707F">
        <w:rPr>
          <w:rFonts w:eastAsia="Times New Roman"/>
          <w:i/>
          <w:shd w:val="clear" w:color="auto" w:fill="FFFFFF"/>
        </w:rPr>
        <w:t>Open</w:t>
      </w:r>
      <w:proofErr w:type="gramEnd"/>
      <w:r w:rsidR="00ED707F" w:rsidRPr="00ED707F">
        <w:rPr>
          <w:rFonts w:eastAsia="Times New Roman"/>
          <w:i/>
          <w:shd w:val="clear" w:color="auto" w:fill="FFFFFF"/>
        </w:rPr>
        <w:t xml:space="preserve"> Lane Capacity</w:t>
      </w:r>
      <w:r w:rsidR="00410645">
        <w:rPr>
          <w:rFonts w:eastAsia="Times New Roman"/>
          <w:shd w:val="clear" w:color="auto" w:fill="FFFFFF"/>
        </w:rPr>
        <w:t xml:space="preserve"> is normally consider free-flow with a capacity of 1600 vehicles/hr/lane.  </w:t>
      </w:r>
      <w:r w:rsidRPr="00CB3C5F">
        <w:rPr>
          <w:rFonts w:eastAsia="Times New Roman"/>
          <w:shd w:val="clear" w:color="auto" w:fill="FFFFFF"/>
        </w:rPr>
        <w:t xml:space="preserve"> </w:t>
      </w:r>
      <w:r w:rsidR="00725A70">
        <w:rPr>
          <w:rFonts w:eastAsia="Times New Roman"/>
          <w:shd w:val="clear" w:color="auto" w:fill="FFFFFF"/>
        </w:rPr>
        <w:t xml:space="preserve"> </w:t>
      </w:r>
    </w:p>
    <w:p w:rsidR="006C7976" w:rsidRDefault="006C7976" w:rsidP="004F56A2">
      <w:pPr>
        <w:rPr>
          <w:rFonts w:eastAsia="Times New Roman"/>
          <w:shd w:val="clear" w:color="auto" w:fill="FFFFFF"/>
        </w:rPr>
      </w:pPr>
    </w:p>
    <w:p w:rsidR="00725A70" w:rsidRDefault="00725A70" w:rsidP="004F56A2">
      <w:pPr>
        <w:rPr>
          <w:rFonts w:eastAsia="Times New Roman"/>
          <w:shd w:val="clear" w:color="auto" w:fill="FFFFFF"/>
        </w:rPr>
      </w:pPr>
      <w:r>
        <w:rPr>
          <w:rFonts w:eastAsia="Times New Roman"/>
        </w:rPr>
        <w:t>T</w:t>
      </w:r>
      <w:r w:rsidRPr="00CB3C5F">
        <w:rPr>
          <w:rFonts w:eastAsia="Times New Roman"/>
          <w:shd w:val="clear" w:color="auto" w:fill="FFFFFF"/>
        </w:rPr>
        <w:t xml:space="preserve">he </w:t>
      </w:r>
      <w:r w:rsidRPr="00CB3C5F">
        <w:rPr>
          <w:rFonts w:eastAsia="Times New Roman"/>
          <w:i/>
          <w:shd w:val="clear" w:color="auto" w:fill="FFFFFF"/>
        </w:rPr>
        <w:t>Total Capacity of Work Zone</w:t>
      </w:r>
      <w:r w:rsidR="00410645">
        <w:rPr>
          <w:rFonts w:eastAsia="Times New Roman"/>
          <w:i/>
          <w:shd w:val="clear" w:color="auto" w:fill="FFFFFF"/>
        </w:rPr>
        <w:t xml:space="preserve"> </w:t>
      </w:r>
      <w:r w:rsidR="00ED707F" w:rsidRPr="00ED707F">
        <w:rPr>
          <w:rFonts w:eastAsia="Times New Roman"/>
          <w:shd w:val="clear" w:color="auto" w:fill="FFFFFF"/>
        </w:rPr>
        <w:t>value</w:t>
      </w:r>
      <w:r w:rsidR="0089377C">
        <w:rPr>
          <w:rFonts w:eastAsia="Times New Roman"/>
          <w:shd w:val="clear" w:color="auto" w:fill="FFFFFF"/>
        </w:rPr>
        <w:t xml:space="preserve"> i</w:t>
      </w:r>
      <w:r w:rsidR="00410645">
        <w:rPr>
          <w:rFonts w:eastAsia="Times New Roman"/>
          <w:shd w:val="clear" w:color="auto" w:fill="FFFFFF"/>
        </w:rPr>
        <w:t xml:space="preserve">s the calculated capacity based on the </w:t>
      </w:r>
      <w:r w:rsidR="00410645" w:rsidRPr="00916A00">
        <w:rPr>
          <w:rFonts w:eastAsia="Times New Roman"/>
          <w:bCs/>
          <w:i/>
        </w:rPr>
        <w:t>Highway Capacity Manual 2010 Program</w:t>
      </w:r>
      <w:r w:rsidR="00410645" w:rsidRPr="00916A00">
        <w:rPr>
          <w:rFonts w:eastAsia="Times New Roman"/>
          <w:shd w:val="clear" w:color="auto" w:fill="FFFFFF"/>
        </w:rPr>
        <w:t xml:space="preserve"> </w:t>
      </w:r>
      <w:r w:rsidR="00410645">
        <w:rPr>
          <w:rFonts w:eastAsia="Times New Roman"/>
          <w:shd w:val="clear" w:color="auto" w:fill="FFFFFF"/>
        </w:rPr>
        <w:t>(see above directions)</w:t>
      </w:r>
      <w:r w:rsidRPr="00CB3C5F">
        <w:rPr>
          <w:rFonts w:eastAsia="Times New Roman"/>
          <w:shd w:val="clear" w:color="auto" w:fill="FFFFFF"/>
        </w:rPr>
        <w:t>.</w:t>
      </w:r>
    </w:p>
    <w:p w:rsidR="00725A70" w:rsidRDefault="00725A70" w:rsidP="004F56A2">
      <w:pPr>
        <w:rPr>
          <w:rFonts w:eastAsia="Times New Roman"/>
          <w:shd w:val="clear" w:color="auto" w:fill="FFFFFF"/>
        </w:rPr>
      </w:pPr>
    </w:p>
    <w:p w:rsidR="004F56A2" w:rsidRPr="00CB3C5F" w:rsidRDefault="00725A70" w:rsidP="004F56A2">
      <w:pPr>
        <w:rPr>
          <w:rFonts w:eastAsia="Times New Roman"/>
        </w:rPr>
      </w:pPr>
      <w:r>
        <w:rPr>
          <w:rFonts w:eastAsia="Times New Roman"/>
          <w:shd w:val="clear" w:color="auto" w:fill="FFFFFF"/>
        </w:rPr>
        <w:t xml:space="preserve">The </w:t>
      </w:r>
      <w:r w:rsidRPr="00725A70">
        <w:rPr>
          <w:rFonts w:eastAsia="Times New Roman"/>
          <w:i/>
          <w:shd w:val="clear" w:color="auto" w:fill="FFFFFF"/>
        </w:rPr>
        <w:t>User Cost</w:t>
      </w:r>
      <w:r>
        <w:rPr>
          <w:rFonts w:eastAsia="Times New Roman"/>
          <w:shd w:val="clear" w:color="auto" w:fill="FFFFFF"/>
        </w:rPr>
        <w:t xml:space="preserve"> is currently the Missouri rates.  T</w:t>
      </w:r>
      <w:r w:rsidR="004F56A2" w:rsidRPr="00CB3C5F">
        <w:rPr>
          <w:rFonts w:eastAsia="Times New Roman"/>
          <w:shd w:val="clear" w:color="auto" w:fill="FFFFFF"/>
        </w:rPr>
        <w:t xml:space="preserve">he </w:t>
      </w:r>
      <w:r w:rsidR="004F56A2" w:rsidRPr="00CB3C5F">
        <w:rPr>
          <w:rFonts w:eastAsia="Times New Roman"/>
          <w:i/>
          <w:shd w:val="clear" w:color="auto" w:fill="FFFFFF"/>
        </w:rPr>
        <w:t xml:space="preserve">User Cost </w:t>
      </w:r>
      <w:r w:rsidR="004F56A2" w:rsidRPr="00CB3C5F">
        <w:rPr>
          <w:rFonts w:eastAsia="Times New Roman"/>
          <w:shd w:val="clear" w:color="auto" w:fill="FFFFFF"/>
        </w:rPr>
        <w:t>field may be adjusted to better represent user cost for a specific area or state.</w:t>
      </w:r>
      <w:r w:rsidR="004F56A2" w:rsidRPr="00CB3C5F">
        <w:rPr>
          <w:rFonts w:eastAsia="Times New Roman"/>
        </w:rPr>
        <w:t xml:space="preserve"> </w:t>
      </w:r>
    </w:p>
    <w:p w:rsidR="004F56A2" w:rsidRPr="00CB3C5F" w:rsidRDefault="004F56A2" w:rsidP="004F56A2">
      <w:pPr>
        <w:rPr>
          <w:rFonts w:eastAsia="Times New Roman"/>
        </w:rPr>
      </w:pPr>
    </w:p>
    <w:p w:rsidR="004F56A2" w:rsidRDefault="004F56A2" w:rsidP="004F56A2">
      <w:pPr>
        <w:rPr>
          <w:rFonts w:eastAsia="Times New Roman"/>
        </w:rPr>
      </w:pPr>
      <w:r w:rsidRPr="00A71D4D">
        <w:rPr>
          <w:rFonts w:eastAsia="Times New Roman"/>
          <w:b/>
          <w:bCs/>
          <w:shd w:val="clear" w:color="auto" w:fill="FFFFFF"/>
        </w:rPr>
        <w:t>Step 2: Hourly Volume</w:t>
      </w:r>
      <w:r w:rsidRPr="00A71D4D">
        <w:rPr>
          <w:rFonts w:eastAsia="Times New Roman"/>
        </w:rPr>
        <w:t xml:space="preserve"> </w:t>
      </w:r>
    </w:p>
    <w:p w:rsidR="00C04BFB" w:rsidRDefault="00C04BFB" w:rsidP="00C04BFB">
      <w:pPr>
        <w:rPr>
          <w:rFonts w:eastAsia="Times New Roman"/>
          <w:shd w:val="clear" w:color="auto" w:fill="FFFFFF"/>
        </w:rPr>
      </w:pPr>
    </w:p>
    <w:p w:rsidR="00C04BFB" w:rsidRPr="00A71D4D" w:rsidRDefault="00C04BFB" w:rsidP="00C04BFB">
      <w:pPr>
        <w:rPr>
          <w:rFonts w:eastAsia="Times New Roman"/>
        </w:rPr>
      </w:pPr>
      <w:r w:rsidRPr="00A71D4D">
        <w:rPr>
          <w:rFonts w:eastAsia="Times New Roman"/>
          <w:shd w:val="clear" w:color="auto" w:fill="FFFFFF"/>
        </w:rPr>
        <w:t xml:space="preserve">The </w:t>
      </w:r>
      <w:r w:rsidRPr="00A71D4D">
        <w:rPr>
          <w:rFonts w:eastAsia="Times New Roman"/>
          <w:i/>
          <w:shd w:val="clear" w:color="auto" w:fill="FFFFFF"/>
        </w:rPr>
        <w:t>DEMAND</w:t>
      </w:r>
      <w:r w:rsidRPr="00A71D4D">
        <w:rPr>
          <w:rFonts w:eastAsia="Times New Roman"/>
          <w:shd w:val="clear" w:color="auto" w:fill="FFFFFF"/>
        </w:rPr>
        <w:t xml:space="preserve"> field is a </w:t>
      </w:r>
      <w:r>
        <w:rPr>
          <w:rFonts w:eastAsia="Times New Roman"/>
          <w:shd w:val="clear" w:color="auto" w:fill="FFFFFF"/>
        </w:rPr>
        <w:t xml:space="preserve">blue </w:t>
      </w:r>
      <w:r w:rsidRPr="00A71D4D">
        <w:rPr>
          <w:rFonts w:eastAsia="Times New Roman"/>
          <w:shd w:val="clear" w:color="auto" w:fill="FFFFFF"/>
        </w:rPr>
        <w:t xml:space="preserve">required field. The demand information is the hourly volume, which is based on vehicles per hour per lane. </w:t>
      </w:r>
      <w:r>
        <w:rPr>
          <w:rFonts w:eastAsia="Times New Roman"/>
          <w:shd w:val="clear" w:color="auto" w:fill="FFFFFF"/>
        </w:rPr>
        <w:t>The</w:t>
      </w:r>
      <w:r w:rsidRPr="00C04BFB">
        <w:rPr>
          <w:rFonts w:eastAsia="Times New Roman"/>
          <w:i/>
          <w:shd w:val="clear" w:color="auto" w:fill="FFFFFF"/>
        </w:rPr>
        <w:t xml:space="preserve"> </w:t>
      </w:r>
      <w:r w:rsidRPr="00A71D4D">
        <w:rPr>
          <w:rFonts w:eastAsia="Times New Roman"/>
          <w:i/>
          <w:shd w:val="clear" w:color="auto" w:fill="FFFFFF"/>
        </w:rPr>
        <w:t>Demand</w:t>
      </w:r>
      <w:r>
        <w:rPr>
          <w:rFonts w:eastAsia="Times New Roman"/>
          <w:i/>
          <w:shd w:val="clear" w:color="auto" w:fill="FFFFFF"/>
        </w:rPr>
        <w:t xml:space="preserve"> </w:t>
      </w:r>
      <w:r>
        <w:rPr>
          <w:rFonts w:eastAsia="Times New Roman"/>
          <w:shd w:val="clear" w:color="auto" w:fill="FFFFFF"/>
        </w:rPr>
        <w:t xml:space="preserve">information is </w:t>
      </w:r>
      <w:r w:rsidRPr="00A71D4D">
        <w:rPr>
          <w:rFonts w:eastAsia="Times New Roman"/>
          <w:shd w:val="clear" w:color="auto" w:fill="FFFFFF"/>
        </w:rPr>
        <w:t>normally populate</w:t>
      </w:r>
      <w:r>
        <w:rPr>
          <w:rFonts w:eastAsia="Times New Roman"/>
          <w:shd w:val="clear" w:color="auto" w:fill="FFFFFF"/>
        </w:rPr>
        <w:t>d</w:t>
      </w:r>
      <w:r w:rsidRPr="00A71D4D">
        <w:rPr>
          <w:rFonts w:eastAsia="Times New Roman"/>
          <w:shd w:val="clear" w:color="auto" w:fill="FFFFFF"/>
        </w:rPr>
        <w:t xml:space="preserve"> from </w:t>
      </w:r>
      <w:r>
        <w:rPr>
          <w:rFonts w:eastAsia="Times New Roman"/>
          <w:shd w:val="clear" w:color="auto" w:fill="FFFFFF"/>
        </w:rPr>
        <w:t xml:space="preserve">the </w:t>
      </w:r>
      <w:r w:rsidRPr="00A71D4D">
        <w:rPr>
          <w:rFonts w:eastAsia="Times New Roman"/>
          <w:shd w:val="clear" w:color="auto" w:fill="FFFFFF"/>
        </w:rPr>
        <w:t>Transportation Management System (TMS) database. Data from the TMS is calculated from field data and updated every 1-3 yrs, dependent on roadway type.</w:t>
      </w:r>
      <w:r>
        <w:rPr>
          <w:rFonts w:eastAsia="Times New Roman"/>
          <w:shd w:val="clear" w:color="auto" w:fill="FFFFFF"/>
        </w:rPr>
        <w:t xml:space="preserve">  The </w:t>
      </w:r>
      <w:r w:rsidRPr="00C04BFB">
        <w:rPr>
          <w:rFonts w:eastAsia="Times New Roman"/>
          <w:i/>
          <w:shd w:val="clear" w:color="auto" w:fill="FFFFFF"/>
        </w:rPr>
        <w:t>Demand</w:t>
      </w:r>
      <w:r>
        <w:rPr>
          <w:rFonts w:eastAsia="Times New Roman"/>
          <w:shd w:val="clear" w:color="auto" w:fill="FFFFFF"/>
        </w:rPr>
        <w:t xml:space="preserve"> field can be populated by actual field data.</w:t>
      </w:r>
      <w:r w:rsidRPr="00A71D4D">
        <w:rPr>
          <w:rFonts w:eastAsia="Times New Roman"/>
          <w:shd w:val="clear" w:color="auto" w:fill="FFFFFF"/>
        </w:rPr>
        <w:t xml:space="preserve">  </w:t>
      </w:r>
    </w:p>
    <w:p w:rsidR="00C04BFB" w:rsidRPr="00A71D4D" w:rsidRDefault="00C04BFB" w:rsidP="00C04BFB">
      <w:pPr>
        <w:rPr>
          <w:rFonts w:eastAsia="Times New Roman"/>
        </w:rPr>
      </w:pPr>
      <w:r w:rsidRPr="00A71D4D">
        <w:rPr>
          <w:rFonts w:eastAsia="Times New Roman"/>
        </w:rPr>
        <w:t xml:space="preserve">  </w:t>
      </w:r>
    </w:p>
    <w:p w:rsidR="00C04BFB" w:rsidRPr="00A71D4D" w:rsidRDefault="00C04BFB" w:rsidP="00C04BFB">
      <w:pPr>
        <w:rPr>
          <w:rFonts w:eastAsia="Times New Roman"/>
        </w:rPr>
      </w:pPr>
      <w:r w:rsidRPr="00A71D4D">
        <w:rPr>
          <w:rFonts w:eastAsia="Times New Roman"/>
          <w:i/>
          <w:shd w:val="clear" w:color="auto" w:fill="FFFFFF"/>
        </w:rPr>
        <w:t>TOTAL ARRIVALS</w:t>
      </w:r>
      <w:r w:rsidRPr="00A71D4D">
        <w:rPr>
          <w:rFonts w:eastAsia="Times New Roman"/>
          <w:shd w:val="clear" w:color="auto" w:fill="FFFFFF"/>
        </w:rPr>
        <w:t xml:space="preserve"> field is a running count of the number of vehicles entering the work zone. </w:t>
      </w:r>
    </w:p>
    <w:p w:rsidR="00C04BFB" w:rsidRPr="00A71D4D" w:rsidRDefault="00C04BFB" w:rsidP="00C04BFB">
      <w:pPr>
        <w:rPr>
          <w:rFonts w:eastAsia="Times New Roman"/>
        </w:rPr>
      </w:pPr>
      <w:r w:rsidRPr="00A71D4D">
        <w:rPr>
          <w:rFonts w:eastAsia="Times New Roman"/>
        </w:rPr>
        <w:t xml:space="preserve">  </w:t>
      </w:r>
    </w:p>
    <w:p w:rsidR="00C04BFB" w:rsidRPr="00A71D4D" w:rsidRDefault="00C04BFB" w:rsidP="00C04BFB">
      <w:pPr>
        <w:rPr>
          <w:rFonts w:eastAsia="Times New Roman"/>
        </w:rPr>
      </w:pPr>
      <w:r w:rsidRPr="00A71D4D">
        <w:rPr>
          <w:rFonts w:eastAsia="Times New Roman"/>
          <w:i/>
          <w:shd w:val="clear" w:color="auto" w:fill="FFFFFF"/>
        </w:rPr>
        <w:t>TOTAL DEPARTURES</w:t>
      </w:r>
      <w:r w:rsidRPr="00A71D4D">
        <w:rPr>
          <w:rFonts w:eastAsia="Times New Roman"/>
          <w:shd w:val="clear" w:color="auto" w:fill="FFFFFF"/>
        </w:rPr>
        <w:t xml:space="preserve"> field is a running count of the number of vehicles that leave the work zone based on the maximum capacity. </w:t>
      </w:r>
    </w:p>
    <w:p w:rsidR="00C04BFB" w:rsidRPr="00A71D4D" w:rsidRDefault="00C04BFB" w:rsidP="00C04BFB">
      <w:pPr>
        <w:rPr>
          <w:rFonts w:eastAsia="Times New Roman"/>
        </w:rPr>
      </w:pPr>
      <w:r w:rsidRPr="00A71D4D">
        <w:rPr>
          <w:rFonts w:eastAsia="Times New Roman"/>
        </w:rPr>
        <w:t xml:space="preserve">  </w:t>
      </w:r>
    </w:p>
    <w:p w:rsidR="00C04BFB" w:rsidRPr="00A71D4D" w:rsidRDefault="00C04BFB" w:rsidP="00C04BFB">
      <w:pPr>
        <w:rPr>
          <w:rFonts w:eastAsia="Times New Roman"/>
        </w:rPr>
      </w:pPr>
      <w:r w:rsidRPr="00A71D4D">
        <w:rPr>
          <w:rFonts w:eastAsia="Times New Roman"/>
          <w:i/>
          <w:shd w:val="clear" w:color="auto" w:fill="FFFFFF"/>
        </w:rPr>
        <w:t>QUEUED VEHICLES</w:t>
      </w:r>
      <w:r w:rsidRPr="00A71D4D">
        <w:rPr>
          <w:rFonts w:eastAsia="Times New Roman"/>
          <w:shd w:val="clear" w:color="auto" w:fill="FFFFFF"/>
        </w:rPr>
        <w:t xml:space="preserve"> are the difference of vehicle arriving versus departures. This </w:t>
      </w:r>
      <w:r w:rsidR="0092044C">
        <w:rPr>
          <w:rFonts w:eastAsia="Times New Roman"/>
          <w:shd w:val="clear" w:color="auto" w:fill="FFFFFF"/>
        </w:rPr>
        <w:t>work zone</w:t>
      </w:r>
      <w:r w:rsidRPr="00A71D4D">
        <w:rPr>
          <w:rFonts w:eastAsia="Times New Roman"/>
          <w:shd w:val="clear" w:color="auto" w:fill="FFFFFF"/>
        </w:rPr>
        <w:t xml:space="preserve"> </w:t>
      </w:r>
      <w:r w:rsidR="0092044C">
        <w:rPr>
          <w:rFonts w:eastAsia="Times New Roman"/>
          <w:shd w:val="clear" w:color="auto" w:fill="FFFFFF"/>
        </w:rPr>
        <w:t xml:space="preserve">has a capacity </w:t>
      </w:r>
      <w:proofErr w:type="gramStart"/>
      <w:r w:rsidR="0092044C">
        <w:rPr>
          <w:rFonts w:eastAsia="Times New Roman"/>
          <w:shd w:val="clear" w:color="auto" w:fill="FFFFFF"/>
        </w:rPr>
        <w:t xml:space="preserve">of </w:t>
      </w:r>
      <w:r w:rsidRPr="00A71D4D">
        <w:rPr>
          <w:rFonts w:eastAsia="Times New Roman"/>
          <w:shd w:val="clear" w:color="auto" w:fill="FFFFFF"/>
        </w:rPr>
        <w:t>1,240 vehicle</w:t>
      </w:r>
      <w:r w:rsidR="0092044C">
        <w:rPr>
          <w:rFonts w:eastAsia="Times New Roman"/>
          <w:shd w:val="clear" w:color="auto" w:fill="FFFFFF"/>
        </w:rPr>
        <w:t>s/hour</w:t>
      </w:r>
      <w:proofErr w:type="gramEnd"/>
      <w:r w:rsidRPr="00A71D4D">
        <w:rPr>
          <w:rFonts w:eastAsia="Times New Roman"/>
          <w:shd w:val="clear" w:color="auto" w:fill="FFFFFF"/>
        </w:rPr>
        <w:t>.</w:t>
      </w:r>
      <w:r w:rsidR="0092044C">
        <w:rPr>
          <w:rFonts w:eastAsia="Times New Roman"/>
          <w:shd w:val="clear" w:color="auto" w:fill="FFFFFF"/>
        </w:rPr>
        <w:t xml:space="preserve"> </w:t>
      </w:r>
      <w:r w:rsidRPr="00A71D4D">
        <w:rPr>
          <w:rFonts w:eastAsia="Times New Roman"/>
          <w:shd w:val="clear" w:color="auto" w:fill="FFFFFF"/>
        </w:rPr>
        <w:t xml:space="preserve"> At 7:00 a</w:t>
      </w:r>
      <w:r>
        <w:rPr>
          <w:rFonts w:eastAsia="Times New Roman"/>
          <w:shd w:val="clear" w:color="auto" w:fill="FFFFFF"/>
        </w:rPr>
        <w:t>.</w:t>
      </w:r>
      <w:r w:rsidRPr="00A71D4D">
        <w:rPr>
          <w:rFonts w:eastAsia="Times New Roman"/>
          <w:shd w:val="clear" w:color="auto" w:fill="FFFFFF"/>
        </w:rPr>
        <w:t>m</w:t>
      </w:r>
      <w:r>
        <w:rPr>
          <w:rFonts w:eastAsia="Times New Roman"/>
          <w:shd w:val="clear" w:color="auto" w:fill="FFFFFF"/>
        </w:rPr>
        <w:t>.</w:t>
      </w:r>
      <w:r w:rsidRPr="00A71D4D">
        <w:rPr>
          <w:rFonts w:eastAsia="Times New Roman"/>
          <w:shd w:val="clear" w:color="auto" w:fill="FFFFFF"/>
        </w:rPr>
        <w:t xml:space="preserve">, 1,371 vehicles arrive, but only 1,240 vehicles can travel through the work zone. There are 131 vehicles </w:t>
      </w:r>
      <w:r>
        <w:rPr>
          <w:rFonts w:eastAsia="Times New Roman"/>
          <w:shd w:val="clear" w:color="auto" w:fill="FFFFFF"/>
        </w:rPr>
        <w:t>that</w:t>
      </w:r>
      <w:r w:rsidRPr="00A71D4D">
        <w:rPr>
          <w:rFonts w:eastAsia="Times New Roman"/>
          <w:shd w:val="clear" w:color="auto" w:fill="FFFFFF"/>
        </w:rPr>
        <w:t xml:space="preserve"> cannot enter the work zone for that particular hour and must wait their turn. If the </w:t>
      </w:r>
      <w:r w:rsidR="0092044C">
        <w:rPr>
          <w:rFonts w:eastAsia="Times New Roman"/>
          <w:shd w:val="clear" w:color="auto" w:fill="FFFFFF"/>
        </w:rPr>
        <w:t xml:space="preserve">number of </w:t>
      </w:r>
      <w:r w:rsidRPr="00A71D4D">
        <w:rPr>
          <w:rFonts w:eastAsia="Times New Roman"/>
          <w:shd w:val="clear" w:color="auto" w:fill="FFFFFF"/>
        </w:rPr>
        <w:t xml:space="preserve">arriving vehicles </w:t>
      </w:r>
      <w:r w:rsidR="0092044C">
        <w:rPr>
          <w:rFonts w:eastAsia="Times New Roman"/>
          <w:shd w:val="clear" w:color="auto" w:fill="FFFFFF"/>
        </w:rPr>
        <w:t>is</w:t>
      </w:r>
      <w:r w:rsidRPr="00A71D4D">
        <w:rPr>
          <w:rFonts w:eastAsia="Times New Roman"/>
          <w:shd w:val="clear" w:color="auto" w:fill="FFFFFF"/>
        </w:rPr>
        <w:t xml:space="preserve"> greater than the capacity of the work zone lane closures, then the work zone will see a queue and delay.</w:t>
      </w:r>
      <w:r w:rsidRPr="00A71D4D">
        <w:rPr>
          <w:rFonts w:eastAsia="Times New Roman"/>
        </w:rPr>
        <w:t xml:space="preserve"> </w:t>
      </w:r>
    </w:p>
    <w:p w:rsidR="00A818D2" w:rsidRDefault="00C04BFB" w:rsidP="00C04BFB">
      <w:pPr>
        <w:rPr>
          <w:rFonts w:eastAsia="Times New Roman"/>
        </w:rPr>
      </w:pPr>
      <w:r w:rsidRPr="00A71D4D">
        <w:rPr>
          <w:rFonts w:eastAsia="Times New Roman"/>
        </w:rPr>
        <w:t xml:space="preserve">  </w:t>
      </w:r>
    </w:p>
    <w:p w:rsidR="00C04BFB" w:rsidRPr="00A71D4D" w:rsidRDefault="00C04BFB" w:rsidP="00C04BFB">
      <w:pPr>
        <w:rPr>
          <w:rFonts w:eastAsia="Times New Roman"/>
        </w:rPr>
      </w:pPr>
      <w:r w:rsidRPr="00A71D4D">
        <w:rPr>
          <w:rFonts w:eastAsia="Times New Roman"/>
          <w:i/>
          <w:shd w:val="clear" w:color="auto" w:fill="FFFFFF"/>
        </w:rPr>
        <w:t>QUEUE LENGTH</w:t>
      </w:r>
      <w:r w:rsidRPr="00A71D4D">
        <w:rPr>
          <w:rFonts w:eastAsia="Times New Roman"/>
          <w:shd w:val="clear" w:color="auto" w:fill="FFFFFF"/>
        </w:rPr>
        <w:t xml:space="preserve"> field calculates the length (miles) of the queue based on the percentage of </w:t>
      </w:r>
      <w:r w:rsidRPr="00A71D4D">
        <w:rPr>
          <w:rFonts w:eastAsia="Times New Roman"/>
          <w:shd w:val="clear" w:color="auto" w:fill="FFFFFF"/>
        </w:rPr>
        <w:lastRenderedPageBreak/>
        <w:t xml:space="preserve">passenger vehicles and trucks. The length of vehicles for this example is 25 feet for passenger vehicles and 50 feet for trucks. </w:t>
      </w:r>
    </w:p>
    <w:p w:rsidR="00C04BFB" w:rsidRPr="00A71D4D" w:rsidRDefault="00C04BFB" w:rsidP="00C04BFB">
      <w:pPr>
        <w:rPr>
          <w:rFonts w:eastAsia="Times New Roman"/>
        </w:rPr>
      </w:pPr>
      <w:r w:rsidRPr="00A71D4D">
        <w:rPr>
          <w:rFonts w:eastAsia="Times New Roman"/>
        </w:rPr>
        <w:t xml:space="preserve">  </w:t>
      </w:r>
    </w:p>
    <w:p w:rsidR="00C04BFB" w:rsidRPr="00A71D4D" w:rsidRDefault="00C04BFB" w:rsidP="00C04BFB">
      <w:pPr>
        <w:rPr>
          <w:rFonts w:eastAsia="Times New Roman"/>
        </w:rPr>
      </w:pPr>
      <w:r w:rsidRPr="00A71D4D">
        <w:rPr>
          <w:rFonts w:eastAsia="Times New Roman"/>
          <w:shd w:val="clear" w:color="auto" w:fill="FFFFFF"/>
        </w:rPr>
        <w:t>For</w:t>
      </w:r>
      <w:r w:rsidR="006C7976">
        <w:rPr>
          <w:rFonts w:eastAsia="Times New Roman"/>
          <w:shd w:val="clear" w:color="auto" w:fill="FFFFFF"/>
        </w:rPr>
        <w:t xml:space="preserve"> example at </w:t>
      </w:r>
      <w:r w:rsidRPr="00A71D4D">
        <w:rPr>
          <w:rFonts w:eastAsia="Times New Roman"/>
          <w:shd w:val="clear" w:color="auto" w:fill="FFFFFF"/>
        </w:rPr>
        <w:t xml:space="preserve">7:00 a.m. </w:t>
      </w:r>
      <w:r w:rsidR="006C7976">
        <w:rPr>
          <w:rFonts w:eastAsia="Times New Roman"/>
          <w:shd w:val="clear" w:color="auto" w:fill="FFFFFF"/>
        </w:rPr>
        <w:t>there are</w:t>
      </w:r>
      <w:r w:rsidRPr="00A71D4D">
        <w:rPr>
          <w:rFonts w:eastAsia="Times New Roman"/>
          <w:shd w:val="clear" w:color="auto" w:fill="FFFFFF"/>
        </w:rPr>
        <w:t xml:space="preserve"> 131 </w:t>
      </w:r>
      <w:r w:rsidR="006C7976">
        <w:rPr>
          <w:rFonts w:eastAsia="Times New Roman"/>
          <w:shd w:val="clear" w:color="auto" w:fill="FFFFFF"/>
        </w:rPr>
        <w:t xml:space="preserve">queued </w:t>
      </w:r>
      <w:r w:rsidRPr="00A71D4D">
        <w:rPr>
          <w:rFonts w:eastAsia="Times New Roman"/>
          <w:shd w:val="clear" w:color="auto" w:fill="FFFFFF"/>
        </w:rPr>
        <w:t xml:space="preserve">vehicles </w:t>
      </w:r>
      <w:r w:rsidR="006C7976">
        <w:rPr>
          <w:rFonts w:eastAsia="Times New Roman"/>
          <w:shd w:val="clear" w:color="auto" w:fill="FFFFFF"/>
        </w:rPr>
        <w:t xml:space="preserve">of </w:t>
      </w:r>
      <w:r w:rsidRPr="00A71D4D">
        <w:rPr>
          <w:rFonts w:eastAsia="Times New Roman"/>
          <w:shd w:val="clear" w:color="auto" w:fill="FFFFFF"/>
        </w:rPr>
        <w:t>which 25 percent</w:t>
      </w:r>
      <w:r w:rsidR="006C7976">
        <w:rPr>
          <w:rFonts w:eastAsia="Times New Roman"/>
          <w:shd w:val="clear" w:color="auto" w:fill="FFFFFF"/>
        </w:rPr>
        <w:t xml:space="preserve"> (0.25)</w:t>
      </w:r>
      <w:r w:rsidRPr="00A71D4D">
        <w:rPr>
          <w:rFonts w:eastAsia="Times New Roman"/>
          <w:shd w:val="clear" w:color="auto" w:fill="FFFFFF"/>
        </w:rPr>
        <w:t xml:space="preserve"> are trucks. (131 vehicles)*(0.75 </w:t>
      </w:r>
      <w:r w:rsidR="0092044C">
        <w:rPr>
          <w:rFonts w:eastAsia="Times New Roman"/>
          <w:shd w:val="clear" w:color="auto" w:fill="FFFFFF"/>
        </w:rPr>
        <w:t xml:space="preserve">percent </w:t>
      </w:r>
      <w:r w:rsidRPr="00A71D4D">
        <w:rPr>
          <w:rFonts w:eastAsia="Times New Roman"/>
          <w:shd w:val="clear" w:color="auto" w:fill="FFFFFF"/>
        </w:rPr>
        <w:t xml:space="preserve">cars)*(25 feet per passenger vehicles) + (131 vehicles)*(0.25 </w:t>
      </w:r>
      <w:r w:rsidR="0092044C">
        <w:rPr>
          <w:rFonts w:eastAsia="Times New Roman"/>
          <w:shd w:val="clear" w:color="auto" w:fill="FFFFFF"/>
        </w:rPr>
        <w:t xml:space="preserve">percent </w:t>
      </w:r>
      <w:r w:rsidRPr="00A71D4D">
        <w:rPr>
          <w:rFonts w:eastAsia="Times New Roman"/>
          <w:shd w:val="clear" w:color="auto" w:fill="FFFFFF"/>
        </w:rPr>
        <w:t>trucks)*(50 feet per trucks) = (2,456.25 feet + 1,637.5 feet) / (2 lanes of open lane) * (5,280 feet/mile) = 0.39 mile queue.</w:t>
      </w:r>
      <w:r w:rsidRPr="00A71D4D">
        <w:rPr>
          <w:rFonts w:eastAsia="Times New Roman"/>
        </w:rPr>
        <w:t xml:space="preserve"> </w:t>
      </w:r>
    </w:p>
    <w:p w:rsidR="00C04BFB" w:rsidRPr="00A71D4D" w:rsidRDefault="00C04BFB" w:rsidP="00C04BFB">
      <w:pPr>
        <w:rPr>
          <w:rFonts w:eastAsia="Times New Roman"/>
        </w:rPr>
      </w:pPr>
      <w:r w:rsidRPr="00A71D4D">
        <w:rPr>
          <w:rFonts w:eastAsia="Times New Roman"/>
        </w:rPr>
        <w:t xml:space="preserve">  </w:t>
      </w:r>
    </w:p>
    <w:p w:rsidR="003941A1" w:rsidRPr="003941A1" w:rsidRDefault="00C04BFB" w:rsidP="00C04BFB">
      <w:pPr>
        <w:pStyle w:val="Default"/>
      </w:pPr>
      <w:r w:rsidRPr="00A71D4D">
        <w:rPr>
          <w:rFonts w:eastAsia="Times New Roman"/>
          <w:i/>
          <w:shd w:val="clear" w:color="auto" w:fill="FFFFFF"/>
        </w:rPr>
        <w:t>DELAY</w:t>
      </w:r>
      <w:r w:rsidRPr="00A71D4D">
        <w:rPr>
          <w:rFonts w:eastAsia="Times New Roman"/>
          <w:shd w:val="clear" w:color="auto" w:fill="FFFFFF"/>
        </w:rPr>
        <w:t xml:space="preserve"> field is the calculation of the queued vehicles, capacity, and conversion from hours to minutes. For 7:00 a.m. example, (131 vehicles)*(60 minutes/hour)</w:t>
      </w:r>
      <w:proofErr w:type="gramStart"/>
      <w:r w:rsidRPr="00A71D4D">
        <w:rPr>
          <w:rFonts w:eastAsia="Times New Roman"/>
          <w:shd w:val="clear" w:color="auto" w:fill="FFFFFF"/>
        </w:rPr>
        <w:t>/(</w:t>
      </w:r>
      <w:proofErr w:type="gramEnd"/>
      <w:r w:rsidRPr="00A71D4D">
        <w:rPr>
          <w:rFonts w:eastAsia="Times New Roman"/>
          <w:shd w:val="clear" w:color="auto" w:fill="FFFFFF"/>
        </w:rPr>
        <w:t>1,240 vehicles/hour) = 6.34 minutes.</w:t>
      </w:r>
    </w:p>
    <w:p w:rsidR="003941A1" w:rsidRPr="003941A1" w:rsidRDefault="003941A1" w:rsidP="003941A1">
      <w:pPr>
        <w:pStyle w:val="Default"/>
      </w:pPr>
    </w:p>
    <w:tbl>
      <w:tblPr>
        <w:tblpPr w:leftFromText="180" w:rightFromText="180" w:vertAnchor="text" w:horzAnchor="margin" w:tblpY="117"/>
        <w:tblW w:w="8874" w:type="dxa"/>
        <w:tblCellSpacing w:w="0" w:type="dxa"/>
        <w:tblCellMar>
          <w:top w:w="15" w:type="dxa"/>
          <w:left w:w="15" w:type="dxa"/>
          <w:bottom w:w="15" w:type="dxa"/>
          <w:right w:w="15" w:type="dxa"/>
        </w:tblCellMar>
        <w:tblLook w:val="04A0"/>
      </w:tblPr>
      <w:tblGrid>
        <w:gridCol w:w="1120"/>
        <w:gridCol w:w="330"/>
        <w:gridCol w:w="531"/>
        <w:gridCol w:w="897"/>
        <w:gridCol w:w="1031"/>
        <w:gridCol w:w="1020"/>
        <w:gridCol w:w="1397"/>
        <w:gridCol w:w="1020"/>
        <w:gridCol w:w="842"/>
        <w:gridCol w:w="686"/>
      </w:tblGrid>
      <w:tr w:rsidR="004F56A2" w:rsidRPr="00A8334F" w:rsidTr="00C04BFB">
        <w:trPr>
          <w:trHeight w:val="324"/>
          <w:tblCellSpacing w:w="0" w:type="dxa"/>
        </w:trPr>
        <w:tc>
          <w:tcPr>
            <w:tcW w:w="112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bCs/>
                <w:color w:val="000000"/>
                <w:sz w:val="20"/>
                <w:szCs w:val="20"/>
                <w:u w:val="single"/>
              </w:rPr>
              <w:t>SATURDAY</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color w:val="000000"/>
                <w:sz w:val="20"/>
                <w:szCs w:val="20"/>
              </w:rPr>
              <w:t> </w:t>
            </w:r>
            <w:r w:rsidRPr="00A8334F">
              <w:rPr>
                <w:rFonts w:ascii="Times New Roman" w:eastAsia="Times New Roman" w:hAnsi="Times New Roman" w:cs="Times New Roman"/>
              </w:rPr>
              <w:t xml:space="preserve">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TIME</w:t>
            </w:r>
            <w:r w:rsidRPr="00A8334F">
              <w:rPr>
                <w:rFonts w:ascii="Times New Roman" w:eastAsia="Times New Roman" w:hAnsi="Times New Roman" w:cs="Times New Roman"/>
              </w:rPr>
              <w:t xml:space="preserve"> </w:t>
            </w:r>
          </w:p>
        </w:tc>
        <w:tc>
          <w:tcPr>
            <w:tcW w:w="8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DEMAND</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CAPACITY</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TOTAL ARRIVALS</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TOTAL DEPARTURES</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QUEUED VEHICLES</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QUEUE LENGTH</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DELAY</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897"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1031"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102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1397"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102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842"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686"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r>
      <w:tr w:rsidR="004F56A2" w:rsidRPr="00A8334F" w:rsidTr="00C04BFB">
        <w:trPr>
          <w:trHeight w:val="16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bCs/>
                <w:color w:val="000000"/>
                <w:sz w:val="20"/>
                <w:szCs w:val="20"/>
              </w:rPr>
              <w:t>AM</w:t>
            </w:r>
            <w:r w:rsidRPr="00A8334F">
              <w:rPr>
                <w:rFonts w:ascii="Times New Roman" w:eastAsia="Times New Roman" w:hAnsi="Times New Roman" w:cs="Times New Roman"/>
              </w:rPr>
              <w:t xml:space="preserve">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0:00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364</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364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364</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331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695</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695</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296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991</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991</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9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3:00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337</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1328</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1328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4</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4:00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395</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1723</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1723</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9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5</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5:00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621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2344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2344</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6</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6:00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1024</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3368</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3368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7</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7:00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1371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4739</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4608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131</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0.39</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6.34</w:t>
            </w:r>
            <w:r w:rsidRPr="00A8334F">
              <w:rPr>
                <w:rFonts w:ascii="Times New Roman" w:eastAsia="Times New Roman" w:hAnsi="Times New Roman" w:cs="Times New Roman"/>
              </w:rPr>
              <w:t xml:space="preserve"> </w:t>
            </w:r>
          </w:p>
        </w:tc>
      </w:tr>
      <w:tr w:rsidR="004F56A2" w:rsidRPr="00A8334F" w:rsidTr="00C04BFB">
        <w:trPr>
          <w:trHeight w:val="19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8</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8:00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1331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6070</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5848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222</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0.66</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10.74</w:t>
            </w:r>
            <w:r w:rsidRPr="00A8334F">
              <w:rPr>
                <w:rFonts w:ascii="Times New Roman" w:eastAsia="Times New Roman" w:hAnsi="Times New Roman" w:cs="Times New Roman"/>
              </w:rPr>
              <w:t xml:space="preserve"> </w:t>
            </w:r>
          </w:p>
        </w:tc>
      </w:tr>
      <w:tr w:rsidR="004F56A2" w:rsidRPr="00A8334F" w:rsidTr="00C04BFB">
        <w:trPr>
          <w:trHeight w:val="188"/>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9</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9:00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1095</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7165</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7088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77</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0.23</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3.73</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10</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10:00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1238</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8403</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8328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75</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0.22</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3.63</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11</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11:00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1196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9599</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9568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31</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0.09</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1.50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bCs/>
                <w:color w:val="000000"/>
                <w:sz w:val="20"/>
                <w:szCs w:val="20"/>
              </w:rPr>
              <w:t>PM</w:t>
            </w:r>
            <w:r w:rsidRPr="00A8334F">
              <w:rPr>
                <w:rFonts w:ascii="Times New Roman" w:eastAsia="Times New Roman" w:hAnsi="Times New Roman" w:cs="Times New Roman"/>
              </w:rPr>
              <w:t xml:space="preserve">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12:00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1276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10875</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10808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67</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0.20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3.24</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13:00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1216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12091</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12048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43</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0.13</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2.08</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14</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14:00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1317</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13408</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13288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0.36</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5.81</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15</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15:00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1326</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14734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14528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206</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0.61</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9.97</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16</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16:00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1310</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16044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15768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276</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0.82</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13.35</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17</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17:00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1222</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17266</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17008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258</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0.76</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12.48</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18</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18:00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1091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18357</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18248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109</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0.32</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5.27</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19</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19:00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847</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19204</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19204</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20</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20:00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859</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20063</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20063</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21</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21:00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695</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20758</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20758</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22</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ascii="Times New Roman" w:eastAsia="Times New Roman" w:hAnsi="Times New Roman" w:cs="Times New Roman"/>
              </w:rPr>
              <w:t>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22:00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601</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21359</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21359</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r>
      <w:tr w:rsidR="004F56A2" w:rsidRPr="00A8334F" w:rsidTr="00C04BFB">
        <w:trPr>
          <w:trHeight w:val="100"/>
          <w:tblCellSpacing w:w="0" w:type="dxa"/>
        </w:trPr>
        <w:tc>
          <w:tcPr>
            <w:tcW w:w="1120" w:type="dxa"/>
            <w:shd w:val="clear" w:color="auto" w:fill="FFFFFF"/>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23</w:t>
            </w:r>
            <w:r w:rsidRPr="00A8334F">
              <w:rPr>
                <w:rFonts w:ascii="Times New Roman" w:eastAsia="Times New Roman" w:hAnsi="Times New Roman" w:cs="Times New Roman"/>
              </w:rPr>
              <w:t xml:space="preserve"> </w:t>
            </w:r>
          </w:p>
        </w:tc>
        <w:tc>
          <w:tcPr>
            <w:tcW w:w="330" w:type="dxa"/>
            <w:shd w:val="clear" w:color="auto" w:fill="FFFFFF"/>
            <w:hideMark/>
          </w:tcPr>
          <w:p w:rsidR="004F56A2" w:rsidRPr="00A8334F" w:rsidRDefault="004F56A2" w:rsidP="00A30CDC">
            <w:pPr>
              <w:rPr>
                <w:rFonts w:ascii="Times New Roman" w:eastAsia="Times New Roman" w:hAnsi="Times New Roman" w:cs="Times New Roman"/>
              </w:rPr>
            </w:pPr>
            <w:r w:rsidRPr="00A8334F">
              <w:rPr>
                <w:rFonts w:eastAsia="Times New Roman"/>
                <w:color w:val="000000"/>
                <w:sz w:val="20"/>
                <w:szCs w:val="20"/>
              </w:rPr>
              <w:t> </w:t>
            </w:r>
            <w:r w:rsidRPr="00A8334F">
              <w:rPr>
                <w:rFonts w:ascii="Times New Roman" w:eastAsia="Times New Roman" w:hAnsi="Times New Roman" w:cs="Times New Roman"/>
              </w:rPr>
              <w:t xml:space="preserve"> </w:t>
            </w:r>
          </w:p>
        </w:tc>
        <w:tc>
          <w:tcPr>
            <w:tcW w:w="5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bCs/>
                <w:color w:val="000000"/>
                <w:sz w:val="20"/>
                <w:szCs w:val="20"/>
              </w:rPr>
              <w:t>23:00</w:t>
            </w:r>
            <w:r w:rsidRPr="00A8334F">
              <w:rPr>
                <w:rFonts w:ascii="Times New Roman" w:eastAsia="Times New Roman" w:hAnsi="Times New Roman" w:cs="Times New Roman"/>
              </w:rPr>
              <w:t xml:space="preserve"> </w:t>
            </w:r>
          </w:p>
        </w:tc>
        <w:tc>
          <w:tcPr>
            <w:tcW w:w="897" w:type="dxa"/>
            <w:shd w:val="clear" w:color="auto" w:fill="33CCCC"/>
            <w:hideMark/>
          </w:tcPr>
          <w:p w:rsidR="004F56A2" w:rsidRPr="00A8334F" w:rsidRDefault="004F56A2" w:rsidP="00A30CDC">
            <w:pPr>
              <w:jc w:val="right"/>
              <w:rPr>
                <w:rFonts w:ascii="Times New Roman" w:eastAsia="Times New Roman" w:hAnsi="Times New Roman" w:cs="Times New Roman"/>
              </w:rPr>
            </w:pPr>
            <w:r w:rsidRPr="00A8334F">
              <w:rPr>
                <w:rFonts w:eastAsia="Times New Roman"/>
                <w:color w:val="000000"/>
                <w:sz w:val="20"/>
                <w:szCs w:val="20"/>
              </w:rPr>
              <w:t>492</w:t>
            </w:r>
            <w:r w:rsidRPr="00A8334F">
              <w:rPr>
                <w:rFonts w:ascii="Times New Roman" w:eastAsia="Times New Roman" w:hAnsi="Times New Roman" w:cs="Times New Roman"/>
              </w:rPr>
              <w:t xml:space="preserve"> </w:t>
            </w:r>
          </w:p>
        </w:tc>
        <w:tc>
          <w:tcPr>
            <w:tcW w:w="1031"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1240</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21851</w:t>
            </w:r>
            <w:r w:rsidRPr="00A8334F">
              <w:rPr>
                <w:rFonts w:ascii="Times New Roman" w:eastAsia="Times New Roman" w:hAnsi="Times New Roman" w:cs="Times New Roman"/>
              </w:rPr>
              <w:t xml:space="preserve"> </w:t>
            </w:r>
          </w:p>
        </w:tc>
        <w:tc>
          <w:tcPr>
            <w:tcW w:w="1397"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21851</w:t>
            </w:r>
            <w:r w:rsidRPr="00A8334F">
              <w:rPr>
                <w:rFonts w:ascii="Times New Roman" w:eastAsia="Times New Roman" w:hAnsi="Times New Roman" w:cs="Times New Roman"/>
              </w:rPr>
              <w:t xml:space="preserve"> </w:t>
            </w:r>
          </w:p>
        </w:tc>
        <w:tc>
          <w:tcPr>
            <w:tcW w:w="1020"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w:t>
            </w:r>
            <w:r w:rsidRPr="00A8334F">
              <w:rPr>
                <w:rFonts w:ascii="Times New Roman" w:eastAsia="Times New Roman" w:hAnsi="Times New Roman" w:cs="Times New Roman"/>
              </w:rPr>
              <w:t xml:space="preserve"> </w:t>
            </w:r>
          </w:p>
        </w:tc>
        <w:tc>
          <w:tcPr>
            <w:tcW w:w="842"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0.00</w:t>
            </w:r>
            <w:r w:rsidRPr="00A8334F">
              <w:rPr>
                <w:rFonts w:ascii="Times New Roman" w:eastAsia="Times New Roman" w:hAnsi="Times New Roman" w:cs="Times New Roman"/>
              </w:rPr>
              <w:t xml:space="preserve"> </w:t>
            </w:r>
          </w:p>
        </w:tc>
        <w:tc>
          <w:tcPr>
            <w:tcW w:w="686" w:type="dxa"/>
            <w:shd w:val="clear" w:color="auto" w:fill="FFFFFF"/>
            <w:hideMark/>
          </w:tcPr>
          <w:p w:rsidR="004F56A2" w:rsidRPr="00A8334F" w:rsidRDefault="004F56A2" w:rsidP="00A30CDC">
            <w:pPr>
              <w:jc w:val="center"/>
              <w:rPr>
                <w:rFonts w:ascii="Times New Roman" w:eastAsia="Times New Roman" w:hAnsi="Times New Roman" w:cs="Times New Roman"/>
              </w:rPr>
            </w:pPr>
            <w:r w:rsidRPr="00A8334F">
              <w:rPr>
                <w:rFonts w:eastAsia="Times New Roman"/>
                <w:color w:val="000000"/>
                <w:sz w:val="20"/>
                <w:szCs w:val="20"/>
              </w:rPr>
              <w:t xml:space="preserve">  0.00</w:t>
            </w:r>
            <w:r w:rsidRPr="00A8334F">
              <w:rPr>
                <w:rFonts w:ascii="Times New Roman" w:eastAsia="Times New Roman" w:hAnsi="Times New Roman" w:cs="Times New Roman"/>
              </w:rPr>
              <w:t xml:space="preserve">  </w:t>
            </w:r>
          </w:p>
        </w:tc>
      </w:tr>
    </w:tbl>
    <w:p w:rsidR="004F56A2" w:rsidRPr="00A71D4D" w:rsidRDefault="004F56A2" w:rsidP="004F56A2">
      <w:pPr>
        <w:rPr>
          <w:rFonts w:eastAsia="Times New Roman"/>
        </w:rPr>
      </w:pPr>
      <w:r w:rsidRPr="00A71D4D">
        <w:rPr>
          <w:rFonts w:eastAsia="Times New Roman"/>
        </w:rPr>
        <w:t xml:space="preserve">    </w:t>
      </w: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4F56A2" w:rsidRDefault="004F56A2" w:rsidP="004F56A2">
      <w:pPr>
        <w:rPr>
          <w:rFonts w:eastAsia="Times New Roman"/>
          <w:shd w:val="clear" w:color="auto" w:fill="FFFFFF"/>
        </w:rPr>
      </w:pPr>
    </w:p>
    <w:p w:rsidR="00C91F75" w:rsidRDefault="00C91F75" w:rsidP="00C91F75">
      <w:pPr>
        <w:rPr>
          <w:rFonts w:eastAsia="Times New Roman"/>
          <w:b/>
          <w:bCs/>
          <w:shd w:val="clear" w:color="auto" w:fill="FFFFFF"/>
        </w:rPr>
      </w:pPr>
    </w:p>
    <w:p w:rsidR="00C91F75" w:rsidRDefault="00C91F75" w:rsidP="00C91F75">
      <w:pPr>
        <w:rPr>
          <w:rFonts w:eastAsia="Times New Roman"/>
          <w:b/>
          <w:bCs/>
          <w:shd w:val="clear" w:color="auto" w:fill="FFFFFF"/>
        </w:rPr>
      </w:pPr>
    </w:p>
    <w:p w:rsidR="00C91F75" w:rsidRDefault="00C91F75" w:rsidP="00C91F75">
      <w:pPr>
        <w:rPr>
          <w:rFonts w:eastAsia="Times New Roman"/>
          <w:b/>
          <w:bCs/>
          <w:shd w:val="clear" w:color="auto" w:fill="FFFFFF"/>
        </w:rPr>
      </w:pPr>
    </w:p>
    <w:p w:rsidR="002B0B65" w:rsidRPr="002B0B65" w:rsidRDefault="002B0B65" w:rsidP="002B0B65">
      <w:pPr>
        <w:pStyle w:val="Default"/>
      </w:pPr>
    </w:p>
    <w:p w:rsidR="00C91F75" w:rsidRDefault="00C91F75" w:rsidP="00C91F75">
      <w:pPr>
        <w:rPr>
          <w:rFonts w:eastAsia="Times New Roman"/>
          <w:b/>
          <w:bCs/>
          <w:shd w:val="clear" w:color="auto" w:fill="FFFFFF"/>
        </w:rPr>
      </w:pPr>
    </w:p>
    <w:p w:rsidR="00A818D2" w:rsidRPr="00A818D2" w:rsidRDefault="00A818D2" w:rsidP="00A818D2">
      <w:pPr>
        <w:pStyle w:val="Default"/>
      </w:pPr>
    </w:p>
    <w:p w:rsidR="00C91F75" w:rsidRDefault="00C91F75" w:rsidP="00C91F75">
      <w:pPr>
        <w:rPr>
          <w:rFonts w:eastAsia="Times New Roman"/>
          <w:b/>
          <w:bCs/>
          <w:shd w:val="clear" w:color="auto" w:fill="FFFFFF"/>
        </w:rPr>
      </w:pPr>
    </w:p>
    <w:p w:rsidR="00C91F75" w:rsidRDefault="00C91F75" w:rsidP="00C91F75">
      <w:pPr>
        <w:rPr>
          <w:rFonts w:eastAsia="Times New Roman"/>
          <w:b/>
          <w:bCs/>
          <w:shd w:val="clear" w:color="auto" w:fill="FFFFFF"/>
        </w:rPr>
      </w:pPr>
    </w:p>
    <w:p w:rsidR="00C91F75" w:rsidRPr="00A71D4D" w:rsidRDefault="00C91F75" w:rsidP="00C91F75">
      <w:pPr>
        <w:rPr>
          <w:rFonts w:eastAsia="Times New Roman"/>
        </w:rPr>
      </w:pPr>
      <w:r w:rsidRPr="00A71D4D">
        <w:rPr>
          <w:rFonts w:eastAsia="Times New Roman"/>
          <w:b/>
          <w:bCs/>
          <w:shd w:val="clear" w:color="auto" w:fill="FFFFFF"/>
        </w:rPr>
        <w:t>Step 3: Work Duration and Calculated Data</w:t>
      </w:r>
      <w:r w:rsidRPr="00A71D4D">
        <w:rPr>
          <w:rFonts w:eastAsia="Times New Roman"/>
        </w:rPr>
        <w:t xml:space="preserve"> </w:t>
      </w:r>
    </w:p>
    <w:p w:rsidR="00C91F75" w:rsidRDefault="00C91F75" w:rsidP="00C91F75">
      <w:pPr>
        <w:rPr>
          <w:rFonts w:eastAsia="Times New Roman"/>
        </w:rPr>
      </w:pPr>
    </w:p>
    <w:p w:rsidR="00C91F75" w:rsidRPr="00A71D4D" w:rsidRDefault="00C91F75" w:rsidP="00C91F75">
      <w:pPr>
        <w:rPr>
          <w:rFonts w:eastAsia="Times New Roman"/>
        </w:rPr>
      </w:pPr>
      <w:r w:rsidRPr="00A71D4D">
        <w:rPr>
          <w:rFonts w:eastAsia="Times New Roman"/>
          <w:shd w:val="clear" w:color="auto" w:fill="FFFFFF"/>
        </w:rPr>
        <w:t>When calculating, a start time and duration of closure is required. The above example starts at 12:00 midnight and operates all day or a 24-hour operation. The start time and duration cannot total more than a 24-hour day. For example, start time is 8:00 a.m. and the longest duration can only be 16-hour duration.</w:t>
      </w:r>
      <w:r w:rsidRPr="00A71D4D">
        <w:rPr>
          <w:rFonts w:eastAsia="Times New Roman"/>
        </w:rPr>
        <w:t xml:space="preserve"> </w:t>
      </w:r>
    </w:p>
    <w:p w:rsidR="00C91F75" w:rsidRPr="00A71D4D" w:rsidRDefault="00C91F75" w:rsidP="00C91F75">
      <w:pPr>
        <w:rPr>
          <w:rFonts w:eastAsia="Times New Roman"/>
        </w:rPr>
      </w:pPr>
      <w:r w:rsidRPr="00A71D4D">
        <w:rPr>
          <w:rFonts w:eastAsia="Times New Roman"/>
        </w:rPr>
        <w:t xml:space="preserve">  </w:t>
      </w:r>
    </w:p>
    <w:p w:rsidR="00C91F75" w:rsidRPr="00A71D4D" w:rsidRDefault="00C91F75" w:rsidP="00C91F75">
      <w:pPr>
        <w:rPr>
          <w:rFonts w:eastAsia="Times New Roman"/>
        </w:rPr>
      </w:pPr>
      <w:r w:rsidRPr="00A71D4D">
        <w:rPr>
          <w:rFonts w:eastAsia="Times New Roman"/>
          <w:shd w:val="clear" w:color="auto" w:fill="FFFFFF"/>
        </w:rPr>
        <w:t xml:space="preserve">The results from the spreadsheet are tabulated as the following: </w:t>
      </w:r>
      <w:r w:rsidRPr="00A71D4D">
        <w:rPr>
          <w:rFonts w:eastAsia="Times New Roman"/>
          <w:i/>
          <w:shd w:val="clear" w:color="auto" w:fill="FFFFFF"/>
        </w:rPr>
        <w:t>MAX DELAY</w:t>
      </w:r>
      <w:r w:rsidRPr="00A71D4D">
        <w:rPr>
          <w:rFonts w:eastAsia="Times New Roman"/>
          <w:shd w:val="clear" w:color="auto" w:fill="FFFFFF"/>
        </w:rPr>
        <w:t xml:space="preserve"> – maximum delay in minutes, </w:t>
      </w:r>
      <w:r w:rsidRPr="00A71D4D">
        <w:rPr>
          <w:rFonts w:eastAsia="Times New Roman"/>
          <w:i/>
          <w:shd w:val="clear" w:color="auto" w:fill="FFFFFF"/>
        </w:rPr>
        <w:t>AVE DELAY</w:t>
      </w:r>
      <w:r w:rsidRPr="00A71D4D">
        <w:rPr>
          <w:rFonts w:eastAsia="Times New Roman"/>
          <w:shd w:val="clear" w:color="auto" w:fill="FFFFFF"/>
        </w:rPr>
        <w:t xml:space="preserve"> – average delay in minutes, </w:t>
      </w:r>
      <w:r w:rsidRPr="00A71D4D">
        <w:rPr>
          <w:rFonts w:eastAsia="Times New Roman"/>
          <w:i/>
          <w:shd w:val="clear" w:color="auto" w:fill="FFFFFF"/>
        </w:rPr>
        <w:t>COST ($)</w:t>
      </w:r>
      <w:r w:rsidRPr="00A71D4D">
        <w:rPr>
          <w:rFonts w:eastAsia="Times New Roman"/>
          <w:shd w:val="clear" w:color="auto" w:fill="FFFFFF"/>
        </w:rPr>
        <w:t xml:space="preserve"> – total user cost for the vehicle (passenger vehicle and truck), and </w:t>
      </w:r>
      <w:r w:rsidRPr="00A71D4D">
        <w:rPr>
          <w:rFonts w:eastAsia="Times New Roman"/>
          <w:i/>
          <w:shd w:val="clear" w:color="auto" w:fill="FFFFFF"/>
        </w:rPr>
        <w:t>MAX QUEUE LENGTH</w:t>
      </w:r>
      <w:r w:rsidRPr="00A71D4D">
        <w:rPr>
          <w:rFonts w:eastAsia="Times New Roman"/>
          <w:shd w:val="clear" w:color="auto" w:fill="FFFFFF"/>
        </w:rPr>
        <w:t xml:space="preserve"> – maximum queue length in miles. </w:t>
      </w:r>
    </w:p>
    <w:p w:rsidR="004F56A2" w:rsidRPr="00A71D4D" w:rsidRDefault="004F56A2" w:rsidP="004F56A2">
      <w:pPr>
        <w:rPr>
          <w:rFonts w:eastAsia="Times New Roman"/>
        </w:rPr>
      </w:pPr>
    </w:p>
    <w:p w:rsidR="004F56A2" w:rsidRDefault="004F56A2" w:rsidP="004F56A2">
      <w:pPr>
        <w:rPr>
          <w:rFonts w:eastAsia="Times New Roman"/>
          <w:b/>
          <w:bCs/>
          <w:shd w:val="clear" w:color="auto" w:fill="FFFFFF"/>
        </w:rPr>
      </w:pPr>
      <w:r w:rsidRPr="00A71D4D">
        <w:rPr>
          <w:rFonts w:eastAsia="Times New Roman"/>
        </w:rPr>
        <w:t> </w:t>
      </w:r>
    </w:p>
    <w:p w:rsidR="004F56A2" w:rsidRPr="00A71D4D" w:rsidRDefault="004F56A2" w:rsidP="004F56A2">
      <w:pPr>
        <w:rPr>
          <w:rFonts w:eastAsia="Times New Roman"/>
        </w:rPr>
      </w:pPr>
      <w:r w:rsidRPr="00A71D4D">
        <w:rPr>
          <w:rFonts w:eastAsia="Times New Roman"/>
        </w:rPr>
        <w:t xml:space="preserve">  </w:t>
      </w:r>
    </w:p>
    <w:tbl>
      <w:tblPr>
        <w:tblW w:w="3615" w:type="dxa"/>
        <w:tblCellSpacing w:w="0" w:type="dxa"/>
        <w:tblCellMar>
          <w:top w:w="15" w:type="dxa"/>
          <w:left w:w="15" w:type="dxa"/>
          <w:bottom w:w="15" w:type="dxa"/>
          <w:right w:w="15" w:type="dxa"/>
        </w:tblCellMar>
        <w:tblLook w:val="04A0"/>
      </w:tblPr>
      <w:tblGrid>
        <w:gridCol w:w="2130"/>
        <w:gridCol w:w="1485"/>
      </w:tblGrid>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Start Time</w:t>
            </w:r>
            <w:r w:rsidRPr="00AC2AEE">
              <w:rPr>
                <w:rFonts w:ascii="Times New Roman" w:eastAsia="Times New Roman" w:hAnsi="Times New Roman" w:cs="Times New Roman"/>
              </w:rPr>
              <w:t xml:space="preserve"> </w:t>
            </w:r>
          </w:p>
        </w:tc>
        <w:tc>
          <w:tcPr>
            <w:tcW w:w="1485" w:type="dxa"/>
            <w:tcBorders>
              <w:top w:val="single" w:sz="8" w:space="0" w:color="auto"/>
              <w:left w:val="single" w:sz="8" w:space="0" w:color="auto"/>
              <w:bottom w:val="single" w:sz="8" w:space="0" w:color="auto"/>
              <w:right w:val="single" w:sz="8" w:space="0" w:color="auto"/>
            </w:tcBorders>
            <w:shd w:val="clear" w:color="auto" w:fill="33CCCC"/>
            <w:hideMark/>
          </w:tcPr>
          <w:p w:rsidR="004F56A2" w:rsidRPr="00AC2AEE" w:rsidRDefault="004F56A2" w:rsidP="00A30CDC">
            <w:pPr>
              <w:jc w:val="center"/>
              <w:rPr>
                <w:rFonts w:ascii="Times New Roman" w:eastAsia="Times New Roman" w:hAnsi="Times New Roman" w:cs="Times New Roman"/>
              </w:rPr>
            </w:pPr>
            <w:r w:rsidRPr="00AC2AEE">
              <w:rPr>
                <w:rFonts w:eastAsia="Times New Roman"/>
                <w:b/>
                <w:bCs/>
                <w:color w:val="000000"/>
                <w:sz w:val="20"/>
                <w:szCs w:val="20"/>
              </w:rPr>
              <w:t>0</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Duration of closure</w:t>
            </w:r>
            <w:r w:rsidRPr="00AC2AEE">
              <w:rPr>
                <w:rFonts w:ascii="Times New Roman" w:eastAsia="Times New Roman" w:hAnsi="Times New Roman" w:cs="Times New Roman"/>
              </w:rPr>
              <w:t xml:space="preserve"> </w:t>
            </w:r>
          </w:p>
        </w:tc>
        <w:tc>
          <w:tcPr>
            <w:tcW w:w="1485" w:type="dxa"/>
            <w:tcBorders>
              <w:left w:val="single" w:sz="8" w:space="0" w:color="auto"/>
              <w:bottom w:val="single" w:sz="8" w:space="0" w:color="auto"/>
              <w:right w:val="single" w:sz="8" w:space="0" w:color="auto"/>
            </w:tcBorders>
            <w:shd w:val="clear" w:color="auto" w:fill="33CCCC"/>
            <w:hideMark/>
          </w:tcPr>
          <w:p w:rsidR="004F56A2" w:rsidRPr="00AC2AEE" w:rsidRDefault="004F56A2" w:rsidP="00A30CDC">
            <w:pPr>
              <w:jc w:val="center"/>
              <w:rPr>
                <w:rFonts w:ascii="Times New Roman" w:eastAsia="Times New Roman" w:hAnsi="Times New Roman" w:cs="Times New Roman"/>
              </w:rPr>
            </w:pPr>
            <w:r w:rsidRPr="00AC2AEE">
              <w:rPr>
                <w:rFonts w:eastAsia="Times New Roman"/>
                <w:b/>
                <w:bCs/>
                <w:color w:val="000000"/>
                <w:sz w:val="20"/>
                <w:szCs w:val="20"/>
              </w:rPr>
              <w:t>24</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color w:val="000000"/>
                <w:sz w:val="20"/>
                <w:szCs w:val="20"/>
              </w:rPr>
              <w:t>count</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24</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color w:val="000000"/>
                <w:sz w:val="20"/>
                <w:szCs w:val="20"/>
              </w:rPr>
              <w:t>short</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0</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MAX DELAY</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13.35</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AVE DELAY</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4.43</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COST ($)</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$5,813.65</w:t>
            </w:r>
            <w:r w:rsidRPr="00AC2AEE">
              <w:rPr>
                <w:rFonts w:ascii="Times New Roman" w:eastAsia="Times New Roman" w:hAnsi="Times New Roman" w:cs="Times New Roman"/>
              </w:rPr>
              <w:t xml:space="preserve">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c>
          <w:tcPr>
            <w:tcW w:w="1485"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ascii="Times New Roman" w:eastAsia="Times New Roman" w:hAnsi="Times New Roman" w:cs="Times New Roman"/>
              </w:rPr>
              <w:t> </w:t>
            </w:r>
          </w:p>
        </w:tc>
      </w:tr>
      <w:tr w:rsidR="004F56A2" w:rsidRPr="00AC2AEE" w:rsidTr="00A30CDC">
        <w:trPr>
          <w:tblCellSpacing w:w="0" w:type="dxa"/>
        </w:trPr>
        <w:tc>
          <w:tcPr>
            <w:tcW w:w="2130" w:type="dxa"/>
            <w:shd w:val="clear" w:color="auto" w:fill="FFFFFF"/>
            <w:hideMark/>
          </w:tcPr>
          <w:p w:rsidR="004F56A2" w:rsidRPr="00AC2AEE" w:rsidRDefault="004F56A2" w:rsidP="00A30CDC">
            <w:pPr>
              <w:rPr>
                <w:rFonts w:ascii="Times New Roman" w:eastAsia="Times New Roman" w:hAnsi="Times New Roman" w:cs="Times New Roman"/>
              </w:rPr>
            </w:pPr>
            <w:r w:rsidRPr="00AC2AEE">
              <w:rPr>
                <w:rFonts w:eastAsia="Times New Roman"/>
                <w:b/>
                <w:bCs/>
                <w:color w:val="000000"/>
                <w:sz w:val="20"/>
                <w:szCs w:val="20"/>
              </w:rPr>
              <w:t>MAX QUEUE LENGTH</w:t>
            </w:r>
            <w:r w:rsidRPr="00AC2AEE">
              <w:rPr>
                <w:rFonts w:ascii="Times New Roman" w:eastAsia="Times New Roman" w:hAnsi="Times New Roman" w:cs="Times New Roman"/>
              </w:rPr>
              <w:t xml:space="preserve"> </w:t>
            </w:r>
          </w:p>
        </w:tc>
        <w:tc>
          <w:tcPr>
            <w:tcW w:w="1485" w:type="dxa"/>
            <w:shd w:val="clear" w:color="auto" w:fill="FFFFFF"/>
            <w:hideMark/>
          </w:tcPr>
          <w:p w:rsidR="004F56A2" w:rsidRPr="00AC2AEE" w:rsidRDefault="004F56A2" w:rsidP="00A30CDC">
            <w:pPr>
              <w:jc w:val="right"/>
              <w:rPr>
                <w:rFonts w:ascii="Times New Roman" w:eastAsia="Times New Roman" w:hAnsi="Times New Roman" w:cs="Times New Roman"/>
              </w:rPr>
            </w:pPr>
            <w:r w:rsidRPr="00AC2AEE">
              <w:rPr>
                <w:rFonts w:eastAsia="Times New Roman"/>
                <w:color w:val="000000"/>
                <w:sz w:val="20"/>
                <w:szCs w:val="20"/>
              </w:rPr>
              <w:t>0.82</w:t>
            </w:r>
            <w:r w:rsidRPr="00AC2AEE">
              <w:rPr>
                <w:rFonts w:ascii="Times New Roman" w:eastAsia="Times New Roman" w:hAnsi="Times New Roman" w:cs="Times New Roman"/>
              </w:rPr>
              <w:t xml:space="preserve">  </w:t>
            </w:r>
          </w:p>
        </w:tc>
      </w:tr>
    </w:tbl>
    <w:p w:rsidR="004F56A2" w:rsidRDefault="004F56A2" w:rsidP="00C91F75">
      <w:r w:rsidRPr="00AC2AEE">
        <w:rPr>
          <w:rFonts w:ascii="Times New Roman" w:eastAsia="Times New Roman" w:hAnsi="Times New Roman" w:cs="Times New Roman"/>
        </w:rPr>
        <w:t xml:space="preserve">  </w:t>
      </w:r>
      <w:r w:rsidRPr="00A71D4D">
        <w:rPr>
          <w:rFonts w:eastAsia="Times New Roman"/>
        </w:rPr>
        <w:t xml:space="preserve">  </w:t>
      </w:r>
    </w:p>
    <w:p w:rsidR="004F56A2" w:rsidRDefault="004F56A2" w:rsidP="004F56A2">
      <w:pPr>
        <w:pStyle w:val="Default"/>
      </w:pPr>
    </w:p>
    <w:p w:rsidR="004F56A2" w:rsidRDefault="004F56A2" w:rsidP="00C91F75">
      <w:pPr>
        <w:rPr>
          <w:rFonts w:eastAsia="Times New Roman"/>
          <w:b/>
          <w:bCs/>
          <w:shd w:val="clear" w:color="auto" w:fill="FFFFFF"/>
        </w:rPr>
      </w:pPr>
      <w:r w:rsidRPr="00A71D4D">
        <w:rPr>
          <w:rFonts w:eastAsia="Times New Roman"/>
          <w:b/>
          <w:bCs/>
          <w:shd w:val="clear" w:color="auto" w:fill="FFFFFF"/>
        </w:rPr>
        <w:t>Step 4: Work Zone Queue Length and Delay Graphs</w:t>
      </w:r>
    </w:p>
    <w:p w:rsidR="00C91F75" w:rsidRDefault="00C91F75" w:rsidP="00C91F75">
      <w:pPr>
        <w:rPr>
          <w:rFonts w:eastAsia="Times New Roman"/>
          <w:shd w:val="clear" w:color="auto" w:fill="FFFFFF"/>
        </w:rPr>
      </w:pPr>
    </w:p>
    <w:p w:rsidR="00C91F75" w:rsidRPr="00A71D4D" w:rsidRDefault="00C91F75" w:rsidP="00C91F75">
      <w:pPr>
        <w:rPr>
          <w:rFonts w:eastAsia="Times New Roman"/>
        </w:rPr>
      </w:pPr>
      <w:r w:rsidRPr="00A71D4D">
        <w:rPr>
          <w:rFonts w:eastAsia="Times New Roman"/>
          <w:shd w:val="clear" w:color="auto" w:fill="FFFFFF"/>
        </w:rPr>
        <w:t xml:space="preserve">The final product of the spreadsheet is a graphical representation of the queue and delay of the work zone. The entire week is graphed to see the trends of the work zone concerns of queue and delay. </w:t>
      </w:r>
    </w:p>
    <w:p w:rsidR="00C91F75" w:rsidRPr="00C91F75" w:rsidRDefault="00C91F75" w:rsidP="00C91F75">
      <w:pPr>
        <w:pStyle w:val="Default"/>
      </w:pPr>
    </w:p>
    <w:p w:rsidR="004F56A2" w:rsidRPr="00AC2AEE" w:rsidRDefault="004F56A2" w:rsidP="004F56A2">
      <w:pPr>
        <w:jc w:val="center"/>
        <w:rPr>
          <w:rFonts w:ascii="Times New Roman" w:eastAsia="Times New Roman" w:hAnsi="Times New Roman" w:cs="Times New Roman"/>
        </w:rPr>
      </w:pPr>
      <w:r w:rsidRPr="007851F6">
        <w:rPr>
          <w:rFonts w:ascii="Times New Roman" w:eastAsia="Times New Roman" w:hAnsi="Times New Roman" w:cs="Times New Roman"/>
          <w:noProof/>
        </w:rPr>
        <w:drawing>
          <wp:inline distT="0" distB="0" distL="0" distR="0">
            <wp:extent cx="5486400" cy="2695575"/>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56A2" w:rsidRPr="00AC2AEE" w:rsidRDefault="004F56A2" w:rsidP="004F56A2">
      <w:pPr>
        <w:rPr>
          <w:rFonts w:ascii="Times New Roman" w:eastAsia="Times New Roman" w:hAnsi="Times New Roman" w:cs="Times New Roman"/>
        </w:rPr>
      </w:pPr>
      <w:r w:rsidRPr="00AC2AEE">
        <w:rPr>
          <w:rFonts w:ascii="Times New Roman" w:eastAsia="Times New Roman" w:hAnsi="Times New Roman" w:cs="Times New Roman"/>
        </w:rPr>
        <w:t xml:space="preserve">    </w:t>
      </w:r>
    </w:p>
    <w:p w:rsidR="004F56A2" w:rsidRPr="00AC2AEE" w:rsidRDefault="004F56A2" w:rsidP="004F56A2">
      <w:pPr>
        <w:jc w:val="center"/>
        <w:rPr>
          <w:rFonts w:ascii="Times New Roman" w:eastAsia="Times New Roman" w:hAnsi="Times New Roman" w:cs="Times New Roman"/>
        </w:rPr>
      </w:pPr>
      <w:r w:rsidRPr="007851F6">
        <w:rPr>
          <w:rFonts w:ascii="Times New Roman" w:eastAsia="Times New Roman" w:hAnsi="Times New Roman" w:cs="Times New Roman"/>
          <w:noProof/>
        </w:rPr>
        <w:lastRenderedPageBreak/>
        <w:drawing>
          <wp:inline distT="0" distB="0" distL="0" distR="0">
            <wp:extent cx="5486400" cy="27432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56A2" w:rsidRPr="00AC2AEE" w:rsidRDefault="004F56A2" w:rsidP="004F56A2">
      <w:pPr>
        <w:rPr>
          <w:rFonts w:ascii="Times New Roman" w:eastAsia="Times New Roman" w:hAnsi="Times New Roman" w:cs="Times New Roman"/>
        </w:rPr>
      </w:pPr>
      <w:r w:rsidRPr="00AC2AEE">
        <w:rPr>
          <w:rFonts w:ascii="Times New Roman" w:eastAsia="Times New Roman" w:hAnsi="Times New Roman" w:cs="Times New Roman"/>
        </w:rPr>
        <w:t xml:space="preserve">  </w:t>
      </w:r>
    </w:p>
    <w:p w:rsidR="008449B6" w:rsidRDefault="008449B6"/>
    <w:sectPr w:rsidR="008449B6" w:rsidSect="00307B6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63" w:rsidRDefault="005B6B63" w:rsidP="001B776B">
      <w:r>
        <w:separator/>
      </w:r>
    </w:p>
  </w:endnote>
  <w:endnote w:type="continuationSeparator" w:id="0">
    <w:p w:rsidR="005B6B63" w:rsidRDefault="005B6B63" w:rsidP="001B77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jaVu Sans Mono">
    <w:altName w:val="Arial"/>
    <w:charset w:val="00"/>
    <w:family w:val="modern"/>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63" w:rsidRDefault="005B6B63" w:rsidP="001B776B">
      <w:r>
        <w:separator/>
      </w:r>
    </w:p>
  </w:footnote>
  <w:footnote w:type="continuationSeparator" w:id="0">
    <w:p w:rsidR="005B6B63" w:rsidRDefault="005B6B63" w:rsidP="001B7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425615"/>
    <w:multiLevelType w:val="hybridMultilevel"/>
    <w:tmpl w:val="6F3E07C2"/>
    <w:lvl w:ilvl="0" w:tplc="40CAF97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E3857"/>
    <w:multiLevelType w:val="hybridMultilevel"/>
    <w:tmpl w:val="62304D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960B30"/>
    <w:multiLevelType w:val="hybridMultilevel"/>
    <w:tmpl w:val="BB3465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2E3473"/>
    <w:multiLevelType w:val="hybridMultilevel"/>
    <w:tmpl w:val="C796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80A82"/>
    <w:multiLevelType w:val="hybridMultilevel"/>
    <w:tmpl w:val="8FC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D514E"/>
    <w:multiLevelType w:val="hybridMultilevel"/>
    <w:tmpl w:val="A860E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056AAC"/>
    <w:multiLevelType w:val="hybridMultilevel"/>
    <w:tmpl w:val="BEDECCB4"/>
    <w:lvl w:ilvl="0" w:tplc="D89EA4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420354"/>
    <w:multiLevelType w:val="hybridMultilevel"/>
    <w:tmpl w:val="B59E0C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071F14"/>
    <w:multiLevelType w:val="hybridMultilevel"/>
    <w:tmpl w:val="45A4F870"/>
    <w:lvl w:ilvl="0" w:tplc="32E281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9B501E"/>
    <w:multiLevelType w:val="hybridMultilevel"/>
    <w:tmpl w:val="0226B7B6"/>
    <w:lvl w:ilvl="0" w:tplc="D9BC94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A46D8D"/>
    <w:multiLevelType w:val="hybridMultilevel"/>
    <w:tmpl w:val="14CE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FC2F7D"/>
    <w:multiLevelType w:val="hybridMultilevel"/>
    <w:tmpl w:val="03448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6"/>
  </w:num>
  <w:num w:numId="11">
    <w:abstractNumId w:val="15"/>
  </w:num>
  <w:num w:numId="12">
    <w:abstractNumId w:val="13"/>
  </w:num>
  <w:num w:numId="13">
    <w:abstractNumId w:val="17"/>
  </w:num>
  <w:num w:numId="14">
    <w:abstractNumId w:val="14"/>
  </w:num>
  <w:num w:numId="15">
    <w:abstractNumId w:val="10"/>
  </w:num>
  <w:num w:numId="16">
    <w:abstractNumId w:val="8"/>
  </w:num>
  <w:num w:numId="17">
    <w:abstractNumId w:val="18"/>
  </w:num>
  <w:num w:numId="18">
    <w:abstractNumId w:val="19"/>
  </w:num>
  <w:num w:numId="19">
    <w:abstractNumId w:val="1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A0B4A"/>
    <w:rsid w:val="0002459A"/>
    <w:rsid w:val="0004004D"/>
    <w:rsid w:val="00087BFD"/>
    <w:rsid w:val="00111F0B"/>
    <w:rsid w:val="00113BCB"/>
    <w:rsid w:val="0014347A"/>
    <w:rsid w:val="00166B24"/>
    <w:rsid w:val="001947F2"/>
    <w:rsid w:val="00195B17"/>
    <w:rsid w:val="001A1FAC"/>
    <w:rsid w:val="001B776B"/>
    <w:rsid w:val="001C6106"/>
    <w:rsid w:val="001D05BB"/>
    <w:rsid w:val="001E2A6B"/>
    <w:rsid w:val="001E79AB"/>
    <w:rsid w:val="001F47C6"/>
    <w:rsid w:val="001F7840"/>
    <w:rsid w:val="0025680F"/>
    <w:rsid w:val="00273703"/>
    <w:rsid w:val="00273BF1"/>
    <w:rsid w:val="002877B2"/>
    <w:rsid w:val="002A184A"/>
    <w:rsid w:val="002B0B65"/>
    <w:rsid w:val="00307B6D"/>
    <w:rsid w:val="003701B8"/>
    <w:rsid w:val="003941A1"/>
    <w:rsid w:val="003C2011"/>
    <w:rsid w:val="003E273E"/>
    <w:rsid w:val="00410645"/>
    <w:rsid w:val="00414056"/>
    <w:rsid w:val="004F56A2"/>
    <w:rsid w:val="00565E8B"/>
    <w:rsid w:val="00581612"/>
    <w:rsid w:val="005A79AE"/>
    <w:rsid w:val="005B6B63"/>
    <w:rsid w:val="005D55CD"/>
    <w:rsid w:val="005E3426"/>
    <w:rsid w:val="00600225"/>
    <w:rsid w:val="00604E15"/>
    <w:rsid w:val="00650BBF"/>
    <w:rsid w:val="00657513"/>
    <w:rsid w:val="006C1459"/>
    <w:rsid w:val="006C7976"/>
    <w:rsid w:val="006D3952"/>
    <w:rsid w:val="00700FA4"/>
    <w:rsid w:val="00725A70"/>
    <w:rsid w:val="007362F9"/>
    <w:rsid w:val="00741392"/>
    <w:rsid w:val="00751877"/>
    <w:rsid w:val="00755F28"/>
    <w:rsid w:val="00757CAC"/>
    <w:rsid w:val="0079068A"/>
    <w:rsid w:val="007E3CC4"/>
    <w:rsid w:val="00801CDD"/>
    <w:rsid w:val="00837E53"/>
    <w:rsid w:val="008449B6"/>
    <w:rsid w:val="0085092E"/>
    <w:rsid w:val="00853199"/>
    <w:rsid w:val="008703DE"/>
    <w:rsid w:val="0087681C"/>
    <w:rsid w:val="0089377C"/>
    <w:rsid w:val="008A45D8"/>
    <w:rsid w:val="008E0572"/>
    <w:rsid w:val="009161BA"/>
    <w:rsid w:val="00916A00"/>
    <w:rsid w:val="0092044C"/>
    <w:rsid w:val="0095392D"/>
    <w:rsid w:val="009876CB"/>
    <w:rsid w:val="00993E80"/>
    <w:rsid w:val="009B0E0F"/>
    <w:rsid w:val="009C341F"/>
    <w:rsid w:val="009D1115"/>
    <w:rsid w:val="009D22BD"/>
    <w:rsid w:val="009E5356"/>
    <w:rsid w:val="00A233EE"/>
    <w:rsid w:val="00A30CDC"/>
    <w:rsid w:val="00A818D2"/>
    <w:rsid w:val="00A84CC9"/>
    <w:rsid w:val="00AA00F3"/>
    <w:rsid w:val="00AA3CB9"/>
    <w:rsid w:val="00AC16C6"/>
    <w:rsid w:val="00B02251"/>
    <w:rsid w:val="00B047E0"/>
    <w:rsid w:val="00BA4D5B"/>
    <w:rsid w:val="00BD0FDC"/>
    <w:rsid w:val="00BE10A8"/>
    <w:rsid w:val="00C04BFB"/>
    <w:rsid w:val="00C152D6"/>
    <w:rsid w:val="00C447B1"/>
    <w:rsid w:val="00C5131B"/>
    <w:rsid w:val="00C91F75"/>
    <w:rsid w:val="00D0544D"/>
    <w:rsid w:val="00D12C90"/>
    <w:rsid w:val="00D86250"/>
    <w:rsid w:val="00DA3E7E"/>
    <w:rsid w:val="00DE2ECE"/>
    <w:rsid w:val="00DF4CA3"/>
    <w:rsid w:val="00E97C25"/>
    <w:rsid w:val="00EA0B4A"/>
    <w:rsid w:val="00EA587A"/>
    <w:rsid w:val="00EC05A9"/>
    <w:rsid w:val="00ED6824"/>
    <w:rsid w:val="00ED707F"/>
    <w:rsid w:val="00ED79CD"/>
    <w:rsid w:val="00EE0476"/>
    <w:rsid w:val="00FB14AB"/>
    <w:rsid w:val="00FB5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4F56A2"/>
    <w:pPr>
      <w:widowControl w:val="0"/>
      <w:autoSpaceDE w:val="0"/>
      <w:autoSpaceDN w:val="0"/>
      <w:adjustRightInd w:val="0"/>
    </w:pPr>
    <w:rPr>
      <w:rFonts w:ascii="Arial" w:eastAsiaTheme="minorEastAsia" w:hAnsi="Arial" w:cs="Arial"/>
      <w:sz w:val="24"/>
      <w:szCs w:val="24"/>
    </w:rPr>
  </w:style>
  <w:style w:type="paragraph" w:styleId="Heading1">
    <w:name w:val="heading 1"/>
    <w:basedOn w:val="Normal"/>
    <w:next w:val="Normal"/>
    <w:link w:val="Heading1Char"/>
    <w:qFormat/>
    <w:rsid w:val="003E273E"/>
    <w:pPr>
      <w:keepNext/>
      <w:widowControl/>
      <w:tabs>
        <w:tab w:val="num" w:pos="432"/>
      </w:tabs>
      <w:suppressAutoHyphens/>
      <w:autoSpaceDE/>
      <w:autoSpaceDN/>
      <w:adjustRightInd/>
      <w:ind w:left="432" w:hanging="432"/>
      <w:outlineLvl w:val="0"/>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3E273E"/>
    <w:pPr>
      <w:widowControl/>
      <w:autoSpaceDE/>
      <w:autoSpaceDN/>
      <w:adjustRightInd/>
      <w:spacing w:before="240" w:after="60"/>
      <w:outlineLvl w:val="6"/>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56A2"/>
    <w:pPr>
      <w:widowControl w:val="0"/>
      <w:autoSpaceDE w:val="0"/>
      <w:autoSpaceDN w:val="0"/>
      <w:adjustRightInd w:val="0"/>
    </w:pPr>
    <w:rPr>
      <w:rFonts w:ascii="Arial" w:eastAsiaTheme="minorEastAsia" w:hAnsi="Arial" w:cs="Arial"/>
      <w:color w:val="000000"/>
      <w:sz w:val="24"/>
      <w:szCs w:val="24"/>
    </w:rPr>
  </w:style>
  <w:style w:type="character" w:customStyle="1" w:styleId="Heading1Char">
    <w:name w:val="Heading 1 Char"/>
    <w:basedOn w:val="DefaultParagraphFont"/>
    <w:link w:val="Heading1"/>
    <w:rsid w:val="003E273E"/>
    <w:rPr>
      <w:b/>
      <w:bCs/>
      <w:sz w:val="24"/>
      <w:szCs w:val="24"/>
      <w:lang w:eastAsia="ar-SA"/>
    </w:rPr>
  </w:style>
  <w:style w:type="character" w:customStyle="1" w:styleId="Heading7Char">
    <w:name w:val="Heading 7 Char"/>
    <w:basedOn w:val="DefaultParagraphFont"/>
    <w:link w:val="Heading7"/>
    <w:rsid w:val="003E273E"/>
    <w:rPr>
      <w:rFonts w:ascii="Calibri" w:hAnsi="Calibri"/>
      <w:sz w:val="24"/>
      <w:szCs w:val="24"/>
      <w:lang w:eastAsia="zh-CN"/>
    </w:rPr>
  </w:style>
  <w:style w:type="character" w:customStyle="1" w:styleId="WW8Num2z0">
    <w:name w:val="WW8Num2z0"/>
    <w:rsid w:val="003E273E"/>
    <w:rPr>
      <w:rFonts w:ascii="Symbol" w:hAnsi="Symbol"/>
    </w:rPr>
  </w:style>
  <w:style w:type="character" w:customStyle="1" w:styleId="WW8Num3z0">
    <w:name w:val="WW8Num3z0"/>
    <w:rsid w:val="003E273E"/>
    <w:rPr>
      <w:rFonts w:ascii="Symbol" w:hAnsi="Symbol"/>
    </w:rPr>
  </w:style>
  <w:style w:type="character" w:customStyle="1" w:styleId="WW8Num5z0">
    <w:name w:val="WW8Num5z0"/>
    <w:rsid w:val="003E273E"/>
    <w:rPr>
      <w:rFonts w:ascii="Symbol" w:hAnsi="Symbol"/>
    </w:rPr>
  </w:style>
  <w:style w:type="character" w:customStyle="1" w:styleId="WW8Num6z0">
    <w:name w:val="WW8Num6z0"/>
    <w:rsid w:val="003E273E"/>
    <w:rPr>
      <w:rFonts w:ascii="Times New Roman" w:eastAsia="Batang" w:hAnsi="Times New Roman" w:cs="Times New Roman"/>
    </w:rPr>
  </w:style>
  <w:style w:type="character" w:customStyle="1" w:styleId="WW8Num8z0">
    <w:name w:val="WW8Num8z0"/>
    <w:rsid w:val="003E273E"/>
    <w:rPr>
      <w:rFonts w:ascii="Symbol" w:hAnsi="Symbol" w:cs="OpenSymbol"/>
    </w:rPr>
  </w:style>
  <w:style w:type="character" w:customStyle="1" w:styleId="Absatz-Standardschriftart">
    <w:name w:val="Absatz-Standardschriftart"/>
    <w:rsid w:val="003E273E"/>
  </w:style>
  <w:style w:type="character" w:customStyle="1" w:styleId="WW-Absatz-Standardschriftart">
    <w:name w:val="WW-Absatz-Standardschriftart"/>
    <w:rsid w:val="003E273E"/>
  </w:style>
  <w:style w:type="character" w:customStyle="1" w:styleId="WW-Absatz-Standardschriftart1">
    <w:name w:val="WW-Absatz-Standardschriftart1"/>
    <w:rsid w:val="003E273E"/>
  </w:style>
  <w:style w:type="character" w:customStyle="1" w:styleId="WW-Absatz-Standardschriftart11">
    <w:name w:val="WW-Absatz-Standardschriftart11"/>
    <w:rsid w:val="003E273E"/>
  </w:style>
  <w:style w:type="character" w:customStyle="1" w:styleId="WW8Num1z0">
    <w:name w:val="WW8Num1z0"/>
    <w:rsid w:val="003E273E"/>
    <w:rPr>
      <w:b w:val="0"/>
    </w:rPr>
  </w:style>
  <w:style w:type="character" w:customStyle="1" w:styleId="WW8Num2z1">
    <w:name w:val="WW8Num2z1"/>
    <w:rsid w:val="003E273E"/>
    <w:rPr>
      <w:rFonts w:ascii="Courier New" w:hAnsi="Courier New" w:cs="Courier New"/>
    </w:rPr>
  </w:style>
  <w:style w:type="character" w:customStyle="1" w:styleId="WW8Num2z2">
    <w:name w:val="WW8Num2z2"/>
    <w:rsid w:val="003E273E"/>
    <w:rPr>
      <w:rFonts w:ascii="Wingdings" w:hAnsi="Wingdings"/>
    </w:rPr>
  </w:style>
  <w:style w:type="character" w:customStyle="1" w:styleId="WW8Num4z0">
    <w:name w:val="WW8Num4z0"/>
    <w:rsid w:val="003E273E"/>
    <w:rPr>
      <w:rFonts w:ascii="Symbol" w:hAnsi="Symbol"/>
    </w:rPr>
  </w:style>
  <w:style w:type="character" w:customStyle="1" w:styleId="WW8Num4z1">
    <w:name w:val="WW8Num4z1"/>
    <w:rsid w:val="003E273E"/>
    <w:rPr>
      <w:rFonts w:ascii="Courier New" w:hAnsi="Courier New" w:cs="Courier New"/>
    </w:rPr>
  </w:style>
  <w:style w:type="character" w:customStyle="1" w:styleId="WW8Num4z2">
    <w:name w:val="WW8Num4z2"/>
    <w:rsid w:val="003E273E"/>
    <w:rPr>
      <w:rFonts w:ascii="Wingdings" w:hAnsi="Wingdings"/>
    </w:rPr>
  </w:style>
  <w:style w:type="character" w:customStyle="1" w:styleId="HeaderChar">
    <w:name w:val="Header Char"/>
    <w:basedOn w:val="DefaultParagraphFont"/>
    <w:rsid w:val="003E273E"/>
    <w:rPr>
      <w:sz w:val="24"/>
      <w:szCs w:val="24"/>
    </w:rPr>
  </w:style>
  <w:style w:type="character" w:customStyle="1" w:styleId="FooterChar">
    <w:name w:val="Footer Char"/>
    <w:basedOn w:val="DefaultParagraphFont"/>
    <w:rsid w:val="003E273E"/>
    <w:rPr>
      <w:sz w:val="24"/>
      <w:szCs w:val="24"/>
    </w:rPr>
  </w:style>
  <w:style w:type="character" w:customStyle="1" w:styleId="WW8Num6z2">
    <w:name w:val="WW8Num6z2"/>
    <w:rsid w:val="003E273E"/>
    <w:rPr>
      <w:rFonts w:ascii="Wingdings" w:hAnsi="Wingdings"/>
    </w:rPr>
  </w:style>
  <w:style w:type="character" w:customStyle="1" w:styleId="WW8Num6z3">
    <w:name w:val="WW8Num6z3"/>
    <w:rsid w:val="003E273E"/>
    <w:rPr>
      <w:rFonts w:ascii="Symbol" w:hAnsi="Symbol"/>
    </w:rPr>
  </w:style>
  <w:style w:type="character" w:customStyle="1" w:styleId="WW8Num6z4">
    <w:name w:val="WW8Num6z4"/>
    <w:rsid w:val="003E273E"/>
    <w:rPr>
      <w:rFonts w:ascii="Courier New" w:hAnsi="Courier New" w:cs="Courier New"/>
    </w:rPr>
  </w:style>
  <w:style w:type="character" w:customStyle="1" w:styleId="Teletype">
    <w:name w:val="Teletype"/>
    <w:rsid w:val="003E273E"/>
    <w:rPr>
      <w:rFonts w:ascii="DejaVu Sans Mono" w:eastAsia="DejaVu Sans Mono" w:hAnsi="DejaVu Sans Mono" w:cs="DejaVu Sans Mono"/>
    </w:rPr>
  </w:style>
  <w:style w:type="character" w:customStyle="1" w:styleId="Bullets">
    <w:name w:val="Bullets"/>
    <w:rsid w:val="003E273E"/>
    <w:rPr>
      <w:rFonts w:ascii="OpenSymbol" w:eastAsia="OpenSymbol" w:hAnsi="OpenSymbol" w:cs="OpenSymbol"/>
    </w:rPr>
  </w:style>
  <w:style w:type="character" w:styleId="Strong">
    <w:name w:val="Strong"/>
    <w:qFormat/>
    <w:rsid w:val="003E273E"/>
    <w:rPr>
      <w:b/>
      <w:bCs/>
    </w:rPr>
  </w:style>
  <w:style w:type="character" w:customStyle="1" w:styleId="NumberingSymbols">
    <w:name w:val="Numbering Symbols"/>
    <w:rsid w:val="003E273E"/>
  </w:style>
  <w:style w:type="paragraph" w:customStyle="1" w:styleId="Heading">
    <w:name w:val="Heading"/>
    <w:basedOn w:val="Normal"/>
    <w:next w:val="BodyText"/>
    <w:rsid w:val="003E273E"/>
    <w:pPr>
      <w:keepNext/>
      <w:widowControl/>
      <w:suppressAutoHyphens/>
      <w:autoSpaceDE/>
      <w:autoSpaceDN/>
      <w:adjustRightInd/>
      <w:spacing w:before="240" w:after="120"/>
    </w:pPr>
    <w:rPr>
      <w:rFonts w:ascii="Nimbus Sans L" w:eastAsia="DejaVu Sans" w:hAnsi="Nimbus Sans L" w:cs="DejaVu Sans"/>
      <w:sz w:val="28"/>
      <w:szCs w:val="28"/>
      <w:lang w:eastAsia="ar-SA"/>
    </w:rPr>
  </w:style>
  <w:style w:type="paragraph" w:styleId="BodyText">
    <w:name w:val="Body Text"/>
    <w:basedOn w:val="Normal"/>
    <w:link w:val="BodyTextChar"/>
    <w:semiHidden/>
    <w:rsid w:val="003E273E"/>
    <w:pPr>
      <w:widowControl/>
      <w:suppressAutoHyphens/>
      <w:autoSpaceDE/>
      <w:autoSpaceDN/>
      <w:adjustRightInd/>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semiHidden/>
    <w:rsid w:val="003E273E"/>
    <w:rPr>
      <w:sz w:val="24"/>
      <w:szCs w:val="24"/>
      <w:lang w:eastAsia="ar-SA"/>
    </w:rPr>
  </w:style>
  <w:style w:type="paragraph" w:styleId="List">
    <w:name w:val="List"/>
    <w:basedOn w:val="BodyText"/>
    <w:semiHidden/>
    <w:rsid w:val="003E273E"/>
  </w:style>
  <w:style w:type="paragraph" w:styleId="Caption">
    <w:name w:val="caption"/>
    <w:basedOn w:val="Normal"/>
    <w:qFormat/>
    <w:rsid w:val="003E273E"/>
    <w:pPr>
      <w:widowControl/>
      <w:suppressLineNumbers/>
      <w:suppressAutoHyphens/>
      <w:autoSpaceDE/>
      <w:autoSpaceDN/>
      <w:adjustRightInd/>
      <w:spacing w:before="120" w:after="120"/>
    </w:pPr>
    <w:rPr>
      <w:rFonts w:ascii="Times New Roman" w:eastAsia="Times New Roman" w:hAnsi="Times New Roman" w:cs="Times New Roman"/>
      <w:i/>
      <w:iCs/>
      <w:lang w:eastAsia="ar-SA"/>
    </w:rPr>
  </w:style>
  <w:style w:type="paragraph" w:customStyle="1" w:styleId="Index">
    <w:name w:val="Index"/>
    <w:basedOn w:val="Normal"/>
    <w:rsid w:val="003E273E"/>
    <w:pPr>
      <w:widowControl/>
      <w:suppressLineNumbers/>
      <w:suppressAutoHyphens/>
      <w:autoSpaceDE/>
      <w:autoSpaceDN/>
      <w:adjustRightInd/>
    </w:pPr>
    <w:rPr>
      <w:rFonts w:ascii="Times New Roman" w:eastAsia="Times New Roman" w:hAnsi="Times New Roman" w:cs="Times New Roman"/>
      <w:lang w:eastAsia="ar-SA"/>
    </w:rPr>
  </w:style>
  <w:style w:type="paragraph" w:styleId="Header">
    <w:name w:val="header"/>
    <w:basedOn w:val="Normal"/>
    <w:link w:val="HeaderChar1"/>
    <w:semiHidden/>
    <w:rsid w:val="003E273E"/>
    <w:pPr>
      <w:widowControl/>
      <w:tabs>
        <w:tab w:val="center" w:pos="4680"/>
        <w:tab w:val="right" w:pos="9360"/>
      </w:tabs>
      <w:suppressAutoHyphens/>
      <w:autoSpaceDE/>
      <w:autoSpaceDN/>
      <w:adjustRightInd/>
    </w:pPr>
    <w:rPr>
      <w:rFonts w:ascii="Times New Roman" w:eastAsia="Times New Roman" w:hAnsi="Times New Roman" w:cs="Times New Roman"/>
      <w:lang w:eastAsia="ar-SA"/>
    </w:rPr>
  </w:style>
  <w:style w:type="character" w:customStyle="1" w:styleId="HeaderChar1">
    <w:name w:val="Header Char1"/>
    <w:basedOn w:val="DefaultParagraphFont"/>
    <w:link w:val="Header"/>
    <w:semiHidden/>
    <w:rsid w:val="003E273E"/>
    <w:rPr>
      <w:sz w:val="24"/>
      <w:szCs w:val="24"/>
      <w:lang w:eastAsia="ar-SA"/>
    </w:rPr>
  </w:style>
  <w:style w:type="paragraph" w:styleId="Footer">
    <w:name w:val="footer"/>
    <w:basedOn w:val="Normal"/>
    <w:link w:val="FooterChar1"/>
    <w:semiHidden/>
    <w:rsid w:val="003E273E"/>
    <w:pPr>
      <w:widowControl/>
      <w:tabs>
        <w:tab w:val="center" w:pos="4680"/>
        <w:tab w:val="right" w:pos="9360"/>
      </w:tabs>
      <w:suppressAutoHyphens/>
      <w:autoSpaceDE/>
      <w:autoSpaceDN/>
      <w:adjustRightInd/>
    </w:pPr>
    <w:rPr>
      <w:rFonts w:ascii="Times New Roman" w:eastAsia="Times New Roman" w:hAnsi="Times New Roman" w:cs="Times New Roman"/>
      <w:lang w:eastAsia="ar-SA"/>
    </w:rPr>
  </w:style>
  <w:style w:type="character" w:customStyle="1" w:styleId="FooterChar1">
    <w:name w:val="Footer Char1"/>
    <w:basedOn w:val="DefaultParagraphFont"/>
    <w:link w:val="Footer"/>
    <w:semiHidden/>
    <w:rsid w:val="003E273E"/>
    <w:rPr>
      <w:sz w:val="24"/>
      <w:szCs w:val="24"/>
      <w:lang w:eastAsia="ar-SA"/>
    </w:rPr>
  </w:style>
  <w:style w:type="paragraph" w:customStyle="1" w:styleId="TableContents">
    <w:name w:val="Table Contents"/>
    <w:basedOn w:val="Normal"/>
    <w:rsid w:val="003E273E"/>
    <w:pPr>
      <w:widowControl/>
      <w:suppressLineNumbers/>
      <w:suppressAutoHyphens/>
      <w:autoSpaceDE/>
      <w:autoSpaceDN/>
      <w:adjustRightInd/>
    </w:pPr>
    <w:rPr>
      <w:rFonts w:ascii="Times New Roman" w:eastAsia="Times New Roman" w:hAnsi="Times New Roman" w:cs="Times New Roman"/>
      <w:lang w:eastAsia="ar-SA"/>
    </w:rPr>
  </w:style>
  <w:style w:type="paragraph" w:customStyle="1" w:styleId="TableHeading">
    <w:name w:val="Table Heading"/>
    <w:basedOn w:val="TableContents"/>
    <w:rsid w:val="003E273E"/>
    <w:pPr>
      <w:jc w:val="center"/>
    </w:pPr>
    <w:rPr>
      <w:b/>
      <w:bCs/>
    </w:rPr>
  </w:style>
  <w:style w:type="paragraph" w:styleId="PlainText">
    <w:name w:val="Plain Text"/>
    <w:basedOn w:val="Normal"/>
    <w:link w:val="PlainTextChar"/>
    <w:semiHidden/>
    <w:rsid w:val="003E273E"/>
    <w:pPr>
      <w:widowControl/>
      <w:suppressAutoHyphens/>
      <w:autoSpaceDE/>
      <w:autoSpaceDN/>
      <w:adjustRightInd/>
    </w:pPr>
    <w:rPr>
      <w:rFonts w:ascii="Consolas" w:eastAsia="Calibri" w:hAnsi="Consolas" w:cs="Times New Roman"/>
      <w:sz w:val="21"/>
      <w:szCs w:val="21"/>
      <w:lang w:eastAsia="ar-SA"/>
    </w:rPr>
  </w:style>
  <w:style w:type="character" w:customStyle="1" w:styleId="PlainTextChar">
    <w:name w:val="Plain Text Char"/>
    <w:basedOn w:val="DefaultParagraphFont"/>
    <w:link w:val="PlainText"/>
    <w:semiHidden/>
    <w:rsid w:val="003E273E"/>
    <w:rPr>
      <w:rFonts w:ascii="Consolas" w:eastAsia="Calibri" w:hAnsi="Consolas"/>
      <w:sz w:val="21"/>
      <w:szCs w:val="21"/>
      <w:lang w:eastAsia="ar-SA"/>
    </w:rPr>
  </w:style>
  <w:style w:type="paragraph" w:styleId="ListParagraph">
    <w:name w:val="List Paragraph"/>
    <w:basedOn w:val="Normal"/>
    <w:qFormat/>
    <w:rsid w:val="003E273E"/>
    <w:pPr>
      <w:widowControl/>
      <w:suppressAutoHyphens/>
      <w:autoSpaceDE/>
      <w:autoSpaceDN/>
      <w:adjustRightInd/>
      <w:ind w:left="720"/>
    </w:pPr>
    <w:rPr>
      <w:rFonts w:ascii="Calibri" w:eastAsia="Calibri" w:hAnsi="Calibri" w:cs="Times New Roman"/>
      <w:sz w:val="22"/>
      <w:szCs w:val="22"/>
      <w:lang w:eastAsia="ar-SA"/>
    </w:rPr>
  </w:style>
  <w:style w:type="paragraph" w:styleId="DocumentMap">
    <w:name w:val="Document Map"/>
    <w:basedOn w:val="Normal"/>
    <w:link w:val="DocumentMapChar"/>
    <w:semiHidden/>
    <w:unhideWhenUsed/>
    <w:rsid w:val="003E273E"/>
    <w:pPr>
      <w:widowControl/>
      <w:suppressAutoHyphens/>
      <w:autoSpaceDE/>
      <w:autoSpaceDN/>
      <w:adjustRightInd/>
    </w:pPr>
    <w:rPr>
      <w:rFonts w:ascii="Tahoma" w:eastAsia="Times New Roman" w:hAnsi="Tahoma" w:cs="Tahoma"/>
      <w:sz w:val="16"/>
      <w:szCs w:val="16"/>
      <w:lang w:eastAsia="ar-SA"/>
    </w:rPr>
  </w:style>
  <w:style w:type="character" w:customStyle="1" w:styleId="DocumentMapChar">
    <w:name w:val="Document Map Char"/>
    <w:basedOn w:val="DefaultParagraphFont"/>
    <w:link w:val="DocumentMap"/>
    <w:semiHidden/>
    <w:rsid w:val="003E273E"/>
    <w:rPr>
      <w:rFonts w:ascii="Tahoma" w:hAnsi="Tahoma" w:cs="Tahoma"/>
      <w:sz w:val="16"/>
      <w:szCs w:val="16"/>
      <w:lang w:eastAsia="ar-SA"/>
    </w:rPr>
  </w:style>
  <w:style w:type="character" w:customStyle="1" w:styleId="BodyTextChar1">
    <w:name w:val="Body Text Char1"/>
    <w:basedOn w:val="DefaultParagraphFont"/>
    <w:rsid w:val="003E273E"/>
    <w:rPr>
      <w:rFonts w:ascii="Times" w:eastAsia="Times New Roman" w:hAnsi="Times" w:cs="Times New Roman"/>
      <w:bCs/>
      <w:sz w:val="24"/>
      <w:szCs w:val="20"/>
      <w:lang w:val="en-GB"/>
    </w:rPr>
  </w:style>
  <w:style w:type="paragraph" w:styleId="CommentText">
    <w:name w:val="annotation text"/>
    <w:basedOn w:val="Normal"/>
    <w:link w:val="CommentTextChar"/>
    <w:semiHidden/>
    <w:rsid w:val="003E273E"/>
    <w:pPr>
      <w:widowControl/>
      <w:autoSpaceDE/>
      <w:autoSpaceDN/>
      <w:adjustRightInd/>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E273E"/>
  </w:style>
  <w:style w:type="paragraph" w:styleId="BalloonText">
    <w:name w:val="Balloon Text"/>
    <w:basedOn w:val="Normal"/>
    <w:link w:val="BalloonTextChar"/>
    <w:rsid w:val="003E273E"/>
    <w:pPr>
      <w:widowControl/>
      <w:autoSpaceDE/>
      <w:autoSpaceDN/>
      <w:adjustRightInd/>
    </w:pPr>
    <w:rPr>
      <w:rFonts w:ascii="Tahoma" w:eastAsia="Times New Roman" w:hAnsi="Tahoma" w:cs="Tahoma"/>
      <w:sz w:val="16"/>
      <w:szCs w:val="16"/>
    </w:rPr>
  </w:style>
  <w:style w:type="character" w:customStyle="1" w:styleId="BalloonTextChar">
    <w:name w:val="Balloon Text Char"/>
    <w:basedOn w:val="DefaultParagraphFont"/>
    <w:link w:val="BalloonText"/>
    <w:rsid w:val="003E273E"/>
    <w:rPr>
      <w:rFonts w:ascii="Tahoma" w:hAnsi="Tahoma" w:cs="Tahoma"/>
      <w:sz w:val="16"/>
      <w:szCs w:val="16"/>
    </w:rPr>
  </w:style>
  <w:style w:type="character" w:customStyle="1" w:styleId="apple-style-span">
    <w:name w:val="apple-style-span"/>
    <w:basedOn w:val="DefaultParagraphFont"/>
    <w:rsid w:val="003E273E"/>
  </w:style>
  <w:style w:type="character" w:customStyle="1" w:styleId="apple-converted-space">
    <w:name w:val="apple-converted-space"/>
    <w:basedOn w:val="DefaultParagraphFont"/>
    <w:rsid w:val="003E273E"/>
  </w:style>
  <w:style w:type="paragraph" w:styleId="TOC1">
    <w:name w:val="toc 1"/>
    <w:basedOn w:val="Normal"/>
    <w:next w:val="Normal"/>
    <w:autoRedefine/>
    <w:semiHidden/>
    <w:rsid w:val="003E273E"/>
    <w:pPr>
      <w:widowControl/>
      <w:tabs>
        <w:tab w:val="right" w:pos="9350"/>
      </w:tabs>
      <w:autoSpaceDE/>
      <w:autoSpaceDN/>
      <w:adjustRightInd/>
      <w:spacing w:line="360" w:lineRule="auto"/>
    </w:pPr>
    <w:rPr>
      <w:rFonts w:eastAsia="Times New Roman" w:cs="Times New Roman"/>
      <w:caps/>
      <w:snapToGrid w:val="0"/>
      <w:color w:val="000000"/>
      <w:sz w:val="20"/>
      <w:szCs w:val="20"/>
    </w:rPr>
  </w:style>
  <w:style w:type="character" w:styleId="Hyperlink">
    <w:name w:val="Hyperlink"/>
    <w:basedOn w:val="DefaultParagraphFont"/>
    <w:uiPriority w:val="99"/>
    <w:semiHidden/>
    <w:unhideWhenUsed/>
    <w:rsid w:val="009D22BD"/>
    <w:rPr>
      <w:strike w:val="0"/>
      <w:dstrike w:val="0"/>
      <w:color w:val="002BB8"/>
      <w:u w:val="none"/>
      <w:effect w:val="none"/>
    </w:rPr>
  </w:style>
  <w:style w:type="paragraph" w:styleId="NormalWeb">
    <w:name w:val="Normal (Web)"/>
    <w:basedOn w:val="Normal"/>
    <w:uiPriority w:val="99"/>
    <w:semiHidden/>
    <w:unhideWhenUsed/>
    <w:rsid w:val="009D22BD"/>
    <w:pPr>
      <w:widowControl/>
      <w:autoSpaceDE/>
      <w:autoSpaceDN/>
      <w:adjustRightInd/>
      <w:spacing w:before="96" w:after="120" w:line="36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1762687">
      <w:bodyDiv w:val="1"/>
      <w:marLeft w:val="0"/>
      <w:marRight w:val="0"/>
      <w:marTop w:val="0"/>
      <w:marBottom w:val="0"/>
      <w:divBdr>
        <w:top w:val="none" w:sz="0" w:space="0" w:color="auto"/>
        <w:left w:val="none" w:sz="0" w:space="0" w:color="auto"/>
        <w:bottom w:val="none" w:sz="0" w:space="0" w:color="auto"/>
        <w:right w:val="none" w:sz="0" w:space="0" w:color="auto"/>
      </w:divBdr>
    </w:div>
    <w:div w:id="376394980">
      <w:bodyDiv w:val="1"/>
      <w:marLeft w:val="0"/>
      <w:marRight w:val="0"/>
      <w:marTop w:val="0"/>
      <w:marBottom w:val="0"/>
      <w:divBdr>
        <w:top w:val="none" w:sz="0" w:space="0" w:color="auto"/>
        <w:left w:val="none" w:sz="0" w:space="0" w:color="auto"/>
        <w:bottom w:val="none" w:sz="0" w:space="0" w:color="auto"/>
        <w:right w:val="none" w:sz="0" w:space="0" w:color="auto"/>
      </w:divBdr>
    </w:div>
    <w:div w:id="917248006">
      <w:bodyDiv w:val="1"/>
      <w:marLeft w:val="0"/>
      <w:marRight w:val="0"/>
      <w:marTop w:val="0"/>
      <w:marBottom w:val="0"/>
      <w:divBdr>
        <w:top w:val="none" w:sz="0" w:space="0" w:color="auto"/>
        <w:left w:val="none" w:sz="0" w:space="0" w:color="auto"/>
        <w:bottom w:val="none" w:sz="0" w:space="0" w:color="auto"/>
        <w:right w:val="none" w:sz="0" w:space="0" w:color="auto"/>
      </w:divBdr>
    </w:div>
    <w:div w:id="917593077">
      <w:bodyDiv w:val="1"/>
      <w:marLeft w:val="0"/>
      <w:marRight w:val="0"/>
      <w:marTop w:val="0"/>
      <w:marBottom w:val="0"/>
      <w:divBdr>
        <w:top w:val="none" w:sz="0" w:space="0" w:color="auto"/>
        <w:left w:val="none" w:sz="0" w:space="0" w:color="auto"/>
        <w:bottom w:val="none" w:sz="0" w:space="0" w:color="auto"/>
        <w:right w:val="none" w:sz="0" w:space="0" w:color="auto"/>
      </w:divBdr>
    </w:div>
    <w:div w:id="1044908156">
      <w:bodyDiv w:val="1"/>
      <w:marLeft w:val="0"/>
      <w:marRight w:val="0"/>
      <w:marTop w:val="0"/>
      <w:marBottom w:val="0"/>
      <w:divBdr>
        <w:top w:val="none" w:sz="0" w:space="0" w:color="auto"/>
        <w:left w:val="none" w:sz="0" w:space="0" w:color="auto"/>
        <w:bottom w:val="none" w:sz="0" w:space="0" w:color="auto"/>
        <w:right w:val="none" w:sz="0" w:space="0" w:color="auto"/>
      </w:divBdr>
    </w:div>
    <w:div w:id="1075393470">
      <w:bodyDiv w:val="1"/>
      <w:marLeft w:val="0"/>
      <w:marRight w:val="0"/>
      <w:marTop w:val="0"/>
      <w:marBottom w:val="0"/>
      <w:divBdr>
        <w:top w:val="none" w:sz="0" w:space="0" w:color="auto"/>
        <w:left w:val="none" w:sz="0" w:space="0" w:color="auto"/>
        <w:bottom w:val="none" w:sz="0" w:space="0" w:color="auto"/>
        <w:right w:val="none" w:sz="0" w:space="0" w:color="auto"/>
      </w:divBdr>
    </w:div>
    <w:div w:id="1089544262">
      <w:bodyDiv w:val="1"/>
      <w:marLeft w:val="0"/>
      <w:marRight w:val="0"/>
      <w:marTop w:val="0"/>
      <w:marBottom w:val="0"/>
      <w:divBdr>
        <w:top w:val="none" w:sz="0" w:space="0" w:color="auto"/>
        <w:left w:val="none" w:sz="0" w:space="0" w:color="auto"/>
        <w:bottom w:val="none" w:sz="0" w:space="0" w:color="auto"/>
        <w:right w:val="none" w:sz="0" w:space="0" w:color="auto"/>
      </w:divBdr>
    </w:div>
    <w:div w:id="1440636265">
      <w:bodyDiv w:val="1"/>
      <w:marLeft w:val="0"/>
      <w:marRight w:val="0"/>
      <w:marTop w:val="0"/>
      <w:marBottom w:val="0"/>
      <w:divBdr>
        <w:top w:val="none" w:sz="0" w:space="0" w:color="auto"/>
        <w:left w:val="none" w:sz="0" w:space="0" w:color="auto"/>
        <w:bottom w:val="none" w:sz="0" w:space="0" w:color="auto"/>
        <w:right w:val="none" w:sz="0" w:space="0" w:color="auto"/>
      </w:divBdr>
      <w:divsChild>
        <w:div w:id="13583407">
          <w:marLeft w:val="0"/>
          <w:marRight w:val="0"/>
          <w:marTop w:val="0"/>
          <w:marBottom w:val="0"/>
          <w:divBdr>
            <w:top w:val="none" w:sz="0" w:space="0" w:color="auto"/>
            <w:left w:val="none" w:sz="0" w:space="0" w:color="auto"/>
            <w:bottom w:val="none" w:sz="0" w:space="0" w:color="auto"/>
            <w:right w:val="none" w:sz="0" w:space="0" w:color="auto"/>
          </w:divBdr>
          <w:divsChild>
            <w:div w:id="842404131">
              <w:marLeft w:val="-2928"/>
              <w:marRight w:val="0"/>
              <w:marTop w:val="0"/>
              <w:marBottom w:val="144"/>
              <w:divBdr>
                <w:top w:val="none" w:sz="0" w:space="0" w:color="auto"/>
                <w:left w:val="none" w:sz="0" w:space="0" w:color="auto"/>
                <w:bottom w:val="none" w:sz="0" w:space="0" w:color="auto"/>
                <w:right w:val="none" w:sz="0" w:space="0" w:color="auto"/>
              </w:divBdr>
              <w:divsChild>
                <w:div w:id="1390494956">
                  <w:marLeft w:val="2928"/>
                  <w:marRight w:val="0"/>
                  <w:marTop w:val="672"/>
                  <w:marBottom w:val="0"/>
                  <w:divBdr>
                    <w:top w:val="single" w:sz="6" w:space="0" w:color="AAAAAA"/>
                    <w:left w:val="single" w:sz="6" w:space="0" w:color="AAAAAA"/>
                    <w:bottom w:val="single" w:sz="6" w:space="0" w:color="AAAAAA"/>
                    <w:right w:val="none" w:sz="0" w:space="0" w:color="auto"/>
                  </w:divBdr>
                  <w:divsChild>
                    <w:div w:id="493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6936">
      <w:bodyDiv w:val="1"/>
      <w:marLeft w:val="0"/>
      <w:marRight w:val="0"/>
      <w:marTop w:val="0"/>
      <w:marBottom w:val="0"/>
      <w:divBdr>
        <w:top w:val="none" w:sz="0" w:space="0" w:color="auto"/>
        <w:left w:val="none" w:sz="0" w:space="0" w:color="auto"/>
        <w:bottom w:val="none" w:sz="0" w:space="0" w:color="auto"/>
        <w:right w:val="none" w:sz="0" w:space="0" w:color="auto"/>
      </w:divBdr>
    </w:div>
    <w:div w:id="1567491109">
      <w:bodyDiv w:val="1"/>
      <w:marLeft w:val="0"/>
      <w:marRight w:val="0"/>
      <w:marTop w:val="0"/>
      <w:marBottom w:val="0"/>
      <w:divBdr>
        <w:top w:val="none" w:sz="0" w:space="0" w:color="auto"/>
        <w:left w:val="none" w:sz="0" w:space="0" w:color="auto"/>
        <w:bottom w:val="none" w:sz="0" w:space="0" w:color="auto"/>
        <w:right w:val="none" w:sz="0" w:space="0" w:color="auto"/>
      </w:divBdr>
      <w:divsChild>
        <w:div w:id="1735158450">
          <w:marLeft w:val="0"/>
          <w:marRight w:val="0"/>
          <w:marTop w:val="0"/>
          <w:marBottom w:val="0"/>
          <w:divBdr>
            <w:top w:val="none" w:sz="0" w:space="0" w:color="auto"/>
            <w:left w:val="none" w:sz="0" w:space="0" w:color="auto"/>
            <w:bottom w:val="none" w:sz="0" w:space="0" w:color="auto"/>
            <w:right w:val="none" w:sz="0" w:space="0" w:color="auto"/>
          </w:divBdr>
          <w:divsChild>
            <w:div w:id="743644942">
              <w:marLeft w:val="-2928"/>
              <w:marRight w:val="0"/>
              <w:marTop w:val="0"/>
              <w:marBottom w:val="144"/>
              <w:divBdr>
                <w:top w:val="none" w:sz="0" w:space="0" w:color="auto"/>
                <w:left w:val="none" w:sz="0" w:space="0" w:color="auto"/>
                <w:bottom w:val="none" w:sz="0" w:space="0" w:color="auto"/>
                <w:right w:val="none" w:sz="0" w:space="0" w:color="auto"/>
              </w:divBdr>
              <w:divsChild>
                <w:div w:id="1220089842">
                  <w:marLeft w:val="2928"/>
                  <w:marRight w:val="0"/>
                  <w:marTop w:val="672"/>
                  <w:marBottom w:val="0"/>
                  <w:divBdr>
                    <w:top w:val="single" w:sz="6" w:space="0" w:color="AAAAAA"/>
                    <w:left w:val="single" w:sz="6" w:space="0" w:color="AAAAAA"/>
                    <w:bottom w:val="single" w:sz="6" w:space="0" w:color="AAAAAA"/>
                    <w:right w:val="none" w:sz="0" w:space="0" w:color="auto"/>
                  </w:divBdr>
                  <w:divsChild>
                    <w:div w:id="18102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6962">
      <w:bodyDiv w:val="1"/>
      <w:marLeft w:val="0"/>
      <w:marRight w:val="0"/>
      <w:marTop w:val="0"/>
      <w:marBottom w:val="0"/>
      <w:divBdr>
        <w:top w:val="none" w:sz="0" w:space="0" w:color="auto"/>
        <w:left w:val="none" w:sz="0" w:space="0" w:color="auto"/>
        <w:bottom w:val="none" w:sz="0" w:space="0" w:color="auto"/>
        <w:right w:val="none" w:sz="0" w:space="0" w:color="auto"/>
      </w:divBdr>
    </w:div>
    <w:div w:id="1705599650">
      <w:bodyDiv w:val="1"/>
      <w:marLeft w:val="0"/>
      <w:marRight w:val="0"/>
      <w:marTop w:val="0"/>
      <w:marBottom w:val="0"/>
      <w:divBdr>
        <w:top w:val="none" w:sz="0" w:space="0" w:color="auto"/>
        <w:left w:val="none" w:sz="0" w:space="0" w:color="auto"/>
        <w:bottom w:val="none" w:sz="0" w:space="0" w:color="auto"/>
        <w:right w:val="none" w:sz="0" w:space="0" w:color="auto"/>
      </w:divBdr>
    </w:div>
    <w:div w:id="1963346054">
      <w:bodyDiv w:val="1"/>
      <w:marLeft w:val="0"/>
      <w:marRight w:val="0"/>
      <w:marTop w:val="0"/>
      <w:marBottom w:val="0"/>
      <w:divBdr>
        <w:top w:val="none" w:sz="0" w:space="0" w:color="auto"/>
        <w:left w:val="none" w:sz="0" w:space="0" w:color="auto"/>
        <w:bottom w:val="none" w:sz="0" w:space="0" w:color="auto"/>
        <w:right w:val="none" w:sz="0" w:space="0" w:color="auto"/>
      </w:divBdr>
    </w:div>
    <w:div w:id="19968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hsmdata01\tr\WORK%20ZONES\FreQ%2012,%20Quickzone%20and%20Custom%20Worksheet\J9I2149%20I-44%20St.%20Roberts\Head%20to%20Head%20Calculations\I-44%20WBL%20St%20Roberts%20-%20MoDOT%20Work%20Zone%20Impact%20Spreadshe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hsmdata01\tr\WORK%20ZONES\FreQ%2012,%20Quickzone%20and%20Custom%20Worksheet\J9I2149%20I-44%20St.%20Roberts\Head%20to%20Head%20Calculations\I-44%20WBL%20St%20Roberts%20-%20MoDOT%20Work%20Zone%20Impact%20Spreadshe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89360190116686"/>
          <c:y val="6.3882063882063994E-2"/>
          <c:w val="0.79601489791202806"/>
          <c:h val="0.77119562182387558"/>
        </c:manualLayout>
      </c:layout>
      <c:lineChart>
        <c:grouping val="standard"/>
        <c:ser>
          <c:idx val="0"/>
          <c:order val="0"/>
          <c:tx>
            <c:v>MON</c:v>
          </c:tx>
          <c:spPr>
            <a:ln w="12700">
              <a:solidFill>
                <a:srgbClr val="000080"/>
              </a:solidFill>
              <a:prstDash val="solid"/>
            </a:ln>
          </c:spPr>
          <c:marker>
            <c:symbol val="diamond"/>
            <c:size val="5"/>
            <c:spPr>
              <a:solidFill>
                <a:srgbClr val="000080"/>
              </a:solidFill>
              <a:ln>
                <a:solidFill>
                  <a:srgbClr val="000080"/>
                </a:solidFill>
                <a:prstDash val="solid"/>
              </a:ln>
            </c:spPr>
          </c:marker>
          <c:val>
            <c:numRef>
              <c:f>Main!$I$15:$I$38</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1"/>
          <c:order val="1"/>
          <c:tx>
            <c:v>TUE</c:v>
          </c:tx>
          <c:spPr>
            <a:ln w="12700">
              <a:solidFill>
                <a:srgbClr val="FF00FF"/>
              </a:solidFill>
              <a:prstDash val="solid"/>
            </a:ln>
          </c:spPr>
          <c:marker>
            <c:symbol val="square"/>
            <c:size val="5"/>
            <c:spPr>
              <a:solidFill>
                <a:srgbClr val="FF00FF"/>
              </a:solidFill>
              <a:ln>
                <a:solidFill>
                  <a:srgbClr val="FF00FF"/>
                </a:solidFill>
                <a:prstDash val="solid"/>
              </a:ln>
            </c:spPr>
          </c:marker>
          <c:val>
            <c:numRef>
              <c:f>Main!$I$43:$I$66</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2"/>
          <c:order val="2"/>
          <c:tx>
            <c:v>WED</c:v>
          </c:tx>
          <c:spPr>
            <a:ln w="12700">
              <a:solidFill>
                <a:srgbClr val="FFFF00"/>
              </a:solidFill>
              <a:prstDash val="solid"/>
            </a:ln>
          </c:spPr>
          <c:marker>
            <c:symbol val="triangle"/>
            <c:size val="5"/>
            <c:spPr>
              <a:solidFill>
                <a:srgbClr val="FFFF00"/>
              </a:solidFill>
              <a:ln>
                <a:solidFill>
                  <a:srgbClr val="FFFF00"/>
                </a:solidFill>
                <a:prstDash val="solid"/>
              </a:ln>
            </c:spPr>
          </c:marker>
          <c:val>
            <c:numRef>
              <c:f>Main!$I$71:$I$94</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3"/>
          <c:order val="3"/>
          <c:tx>
            <c:v>THU</c:v>
          </c:tx>
          <c:spPr>
            <a:ln w="12700">
              <a:solidFill>
                <a:srgbClr val="00FFFF"/>
              </a:solidFill>
              <a:prstDash val="solid"/>
            </a:ln>
          </c:spPr>
          <c:marker>
            <c:symbol val="x"/>
            <c:size val="5"/>
            <c:spPr>
              <a:noFill/>
              <a:ln>
                <a:solidFill>
                  <a:srgbClr val="00FFFF"/>
                </a:solidFill>
                <a:prstDash val="solid"/>
              </a:ln>
            </c:spPr>
          </c:marker>
          <c:val>
            <c:numRef>
              <c:f>Main!$I$99:$I$122</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4"/>
          <c:order val="4"/>
          <c:tx>
            <c:v>FRI</c:v>
          </c:tx>
          <c:spPr>
            <a:ln w="12700">
              <a:solidFill>
                <a:srgbClr val="800080"/>
              </a:solidFill>
              <a:prstDash val="solid"/>
            </a:ln>
          </c:spPr>
          <c:marker>
            <c:symbol val="star"/>
            <c:size val="5"/>
            <c:spPr>
              <a:noFill/>
              <a:ln>
                <a:solidFill>
                  <a:srgbClr val="800080"/>
                </a:solidFill>
                <a:prstDash val="solid"/>
              </a:ln>
            </c:spPr>
          </c:marker>
          <c:val>
            <c:numRef>
              <c:f>Main!$I$126:$I$149</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5"/>
          <c:order val="5"/>
          <c:tx>
            <c:v>SAT</c:v>
          </c:tx>
          <c:spPr>
            <a:ln w="12700">
              <a:solidFill>
                <a:srgbClr val="800000"/>
              </a:solidFill>
              <a:prstDash val="solid"/>
            </a:ln>
          </c:spPr>
          <c:marker>
            <c:symbol val="circle"/>
            <c:size val="5"/>
            <c:spPr>
              <a:solidFill>
                <a:srgbClr val="800000"/>
              </a:solidFill>
              <a:ln>
                <a:solidFill>
                  <a:srgbClr val="800000"/>
                </a:solidFill>
                <a:prstDash val="solid"/>
              </a:ln>
            </c:spPr>
          </c:marker>
          <c:val>
            <c:numRef>
              <c:f>Main!$I$154:$I$177</c:f>
              <c:numCache>
                <c:formatCode>0.00</c:formatCode>
                <c:ptCount val="24"/>
                <c:pt idx="0">
                  <c:v>0</c:v>
                </c:pt>
                <c:pt idx="1">
                  <c:v>0</c:v>
                </c:pt>
                <c:pt idx="2">
                  <c:v>0</c:v>
                </c:pt>
                <c:pt idx="3">
                  <c:v>0</c:v>
                </c:pt>
                <c:pt idx="4">
                  <c:v>0</c:v>
                </c:pt>
                <c:pt idx="5">
                  <c:v>0</c:v>
                </c:pt>
                <c:pt idx="6">
                  <c:v>0</c:v>
                </c:pt>
                <c:pt idx="7">
                  <c:v>0.38766571969697217</c:v>
                </c:pt>
                <c:pt idx="8">
                  <c:v>0.65696022727272763</c:v>
                </c:pt>
                <c:pt idx="9">
                  <c:v>0.22786458333333376</c:v>
                </c:pt>
                <c:pt idx="10">
                  <c:v>0.22194602272727471</c:v>
                </c:pt>
                <c:pt idx="11">
                  <c:v>9.1737689393939725E-2</c:v>
                </c:pt>
                <c:pt idx="12">
                  <c:v>0.19827178030303039</c:v>
                </c:pt>
                <c:pt idx="13">
                  <c:v>0.12724905303030476</c:v>
                </c:pt>
                <c:pt idx="14">
                  <c:v>0.35511363636363635</c:v>
                </c:pt>
                <c:pt idx="15">
                  <c:v>0.60961174242424265</c:v>
                </c:pt>
                <c:pt idx="16">
                  <c:v>0.81676136363636354</c:v>
                </c:pt>
                <c:pt idx="17">
                  <c:v>0.76349431818182378</c:v>
                </c:pt>
                <c:pt idx="18">
                  <c:v>0.32256155303030332</c:v>
                </c:pt>
                <c:pt idx="19">
                  <c:v>0</c:v>
                </c:pt>
                <c:pt idx="20">
                  <c:v>0</c:v>
                </c:pt>
                <c:pt idx="21">
                  <c:v>0</c:v>
                </c:pt>
                <c:pt idx="22">
                  <c:v>0</c:v>
                </c:pt>
                <c:pt idx="23">
                  <c:v>0</c:v>
                </c:pt>
              </c:numCache>
            </c:numRef>
          </c:val>
        </c:ser>
        <c:ser>
          <c:idx val="6"/>
          <c:order val="6"/>
          <c:tx>
            <c:v>SUN</c:v>
          </c:tx>
          <c:spPr>
            <a:ln w="12700">
              <a:solidFill>
                <a:srgbClr val="008080"/>
              </a:solidFill>
              <a:prstDash val="solid"/>
            </a:ln>
          </c:spPr>
          <c:marker>
            <c:symbol val="plus"/>
            <c:size val="5"/>
            <c:spPr>
              <a:noFill/>
              <a:ln>
                <a:solidFill>
                  <a:srgbClr val="008080"/>
                </a:solidFill>
                <a:prstDash val="solid"/>
              </a:ln>
            </c:spPr>
          </c:marker>
          <c:val>
            <c:numRef>
              <c:f>Main!$I$182:$I$205</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0.10653409090909099</c:v>
                </c:pt>
                <c:pt idx="13">
                  <c:v>3.5511363636364E-2</c:v>
                </c:pt>
                <c:pt idx="14">
                  <c:v>0.29000946969697217</c:v>
                </c:pt>
                <c:pt idx="15">
                  <c:v>0.1745975378787879</c:v>
                </c:pt>
                <c:pt idx="16">
                  <c:v>0</c:v>
                </c:pt>
                <c:pt idx="17">
                  <c:v>0</c:v>
                </c:pt>
                <c:pt idx="18">
                  <c:v>0</c:v>
                </c:pt>
                <c:pt idx="19">
                  <c:v>0</c:v>
                </c:pt>
                <c:pt idx="20">
                  <c:v>0</c:v>
                </c:pt>
                <c:pt idx="21">
                  <c:v>0</c:v>
                </c:pt>
                <c:pt idx="22">
                  <c:v>0</c:v>
                </c:pt>
                <c:pt idx="23">
                  <c:v>0</c:v>
                </c:pt>
              </c:numCache>
            </c:numRef>
          </c:val>
        </c:ser>
        <c:marker val="1"/>
        <c:axId val="64308736"/>
        <c:axId val="64315776"/>
      </c:lineChart>
      <c:catAx>
        <c:axId val="64308736"/>
        <c:scaling>
          <c:orientation val="minMax"/>
        </c:scaling>
        <c:axPos val="b"/>
        <c:title>
          <c:tx>
            <c:rich>
              <a:bodyPr/>
              <a:lstStyle/>
              <a:p>
                <a:pPr>
                  <a:defRPr sz="1000" b="1" i="0" u="none" strike="noStrike" baseline="0">
                    <a:solidFill>
                      <a:srgbClr val="000000"/>
                    </a:solidFill>
                    <a:latin typeface="Arial"/>
                    <a:ea typeface="Arial"/>
                    <a:cs typeface="Arial"/>
                  </a:defRPr>
                </a:pPr>
                <a:r>
                  <a:rPr lang="en-US"/>
                  <a:t>TIME</a:t>
                </a:r>
              </a:p>
            </c:rich>
          </c:tx>
          <c:layout>
            <c:manualLayout>
              <c:xMode val="edge"/>
              <c:yMode val="edge"/>
              <c:x val="0.41900945813725948"/>
              <c:y val="0.95323954070958561"/>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64315776"/>
        <c:crosses val="autoZero"/>
        <c:auto val="1"/>
        <c:lblAlgn val="ctr"/>
        <c:lblOffset val="100"/>
        <c:tickLblSkip val="2"/>
        <c:tickMarkSkip val="1"/>
      </c:catAx>
      <c:valAx>
        <c:axId val="64315776"/>
        <c:scaling>
          <c:orientation val="minMax"/>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QUEUE LENGTH (MILES)</a:t>
                </a:r>
              </a:p>
            </c:rich>
          </c:tx>
          <c:layout>
            <c:manualLayout>
              <c:xMode val="edge"/>
              <c:yMode val="edge"/>
              <c:x val="1.346511373578317E-2"/>
              <c:y val="0.25552816536231288"/>
            </c:manualLayout>
          </c:layout>
          <c:spPr>
            <a:noFill/>
            <a:ln w="25400">
              <a:noFill/>
            </a:ln>
          </c:spPr>
        </c:title>
        <c:numFmt formatCode="0.0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64308736"/>
        <c:crosses val="autoZero"/>
        <c:crossBetween val="between"/>
      </c:valAx>
      <c:spPr>
        <a:solidFill>
          <a:srgbClr val="C0C0C0"/>
        </a:solidFill>
        <a:ln w="12700">
          <a:solidFill>
            <a:srgbClr val="808080"/>
          </a:solidFill>
          <a:prstDash val="solid"/>
        </a:ln>
      </c:spPr>
    </c:plotArea>
    <c:legend>
      <c:legendPos val="r"/>
      <c:layout>
        <c:manualLayout>
          <c:xMode val="edge"/>
          <c:yMode val="edge"/>
          <c:x val="0.14463340011492801"/>
          <c:y val="0.11899186514729156"/>
          <c:w val="0.1168640606314746"/>
          <c:h val="0.36438988604685868"/>
        </c:manualLayout>
      </c:layout>
      <c:spPr>
        <a:solidFill>
          <a:srgbClr val="FFFFFF"/>
        </a:solidFill>
        <a:ln w="3175">
          <a:solidFill>
            <a:srgbClr val="000000"/>
          </a:solidFill>
          <a:prstDash val="solid"/>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707185959382848"/>
          <c:y val="5.8441681973928933E-2"/>
          <c:w val="0.79452053440505599"/>
          <c:h val="0.77236884546058882"/>
        </c:manualLayout>
      </c:layout>
      <c:lineChart>
        <c:grouping val="standard"/>
        <c:ser>
          <c:idx val="0"/>
          <c:order val="0"/>
          <c:tx>
            <c:v>MON</c:v>
          </c:tx>
          <c:spPr>
            <a:ln w="12700">
              <a:solidFill>
                <a:srgbClr val="000080"/>
              </a:solidFill>
              <a:prstDash val="solid"/>
            </a:ln>
          </c:spPr>
          <c:marker>
            <c:symbol val="diamond"/>
            <c:size val="5"/>
            <c:spPr>
              <a:solidFill>
                <a:srgbClr val="000080"/>
              </a:solidFill>
              <a:ln>
                <a:solidFill>
                  <a:srgbClr val="000080"/>
                </a:solidFill>
                <a:prstDash val="solid"/>
              </a:ln>
            </c:spPr>
          </c:marker>
          <c:val>
            <c:numRef>
              <c:f>Main!$J$15:$J$38</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1"/>
          <c:order val="1"/>
          <c:tx>
            <c:v>TUE</c:v>
          </c:tx>
          <c:spPr>
            <a:ln w="12700">
              <a:solidFill>
                <a:srgbClr val="FF00FF"/>
              </a:solidFill>
              <a:prstDash val="solid"/>
            </a:ln>
          </c:spPr>
          <c:marker>
            <c:symbol val="square"/>
            <c:size val="5"/>
            <c:spPr>
              <a:solidFill>
                <a:srgbClr val="FF00FF"/>
              </a:solidFill>
              <a:ln>
                <a:solidFill>
                  <a:srgbClr val="FF00FF"/>
                </a:solidFill>
                <a:prstDash val="solid"/>
              </a:ln>
            </c:spPr>
          </c:marker>
          <c:val>
            <c:numRef>
              <c:f>Main!$J$43:$J$66</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2"/>
          <c:order val="2"/>
          <c:tx>
            <c:v>WED</c:v>
          </c:tx>
          <c:spPr>
            <a:ln w="12700">
              <a:solidFill>
                <a:srgbClr val="FFFF00"/>
              </a:solidFill>
              <a:prstDash val="solid"/>
            </a:ln>
          </c:spPr>
          <c:marker>
            <c:symbol val="triangle"/>
            <c:size val="5"/>
            <c:spPr>
              <a:solidFill>
                <a:srgbClr val="FFFF00"/>
              </a:solidFill>
              <a:ln>
                <a:solidFill>
                  <a:srgbClr val="FFFF00"/>
                </a:solidFill>
                <a:prstDash val="solid"/>
              </a:ln>
            </c:spPr>
          </c:marker>
          <c:val>
            <c:numRef>
              <c:f>Main!$J$71:$J$94</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3"/>
          <c:order val="3"/>
          <c:tx>
            <c:v>THU</c:v>
          </c:tx>
          <c:spPr>
            <a:ln w="12700">
              <a:solidFill>
                <a:srgbClr val="00FFFF"/>
              </a:solidFill>
              <a:prstDash val="solid"/>
            </a:ln>
          </c:spPr>
          <c:marker>
            <c:symbol val="x"/>
            <c:size val="5"/>
            <c:spPr>
              <a:noFill/>
              <a:ln>
                <a:solidFill>
                  <a:srgbClr val="00FFFF"/>
                </a:solidFill>
                <a:prstDash val="solid"/>
              </a:ln>
            </c:spPr>
          </c:marker>
          <c:val>
            <c:numRef>
              <c:f>Main!$J$99:$J$122</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4"/>
          <c:order val="4"/>
          <c:tx>
            <c:v>FRI</c:v>
          </c:tx>
          <c:spPr>
            <a:ln w="12700">
              <a:solidFill>
                <a:srgbClr val="800080"/>
              </a:solidFill>
              <a:prstDash val="solid"/>
            </a:ln>
          </c:spPr>
          <c:marker>
            <c:symbol val="star"/>
            <c:size val="5"/>
            <c:spPr>
              <a:noFill/>
              <a:ln>
                <a:solidFill>
                  <a:srgbClr val="800080"/>
                </a:solidFill>
                <a:prstDash val="solid"/>
              </a:ln>
            </c:spPr>
          </c:marker>
          <c:val>
            <c:numRef>
              <c:f>Main!$J$126:$J$149</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er>
        <c:ser>
          <c:idx val="5"/>
          <c:order val="5"/>
          <c:tx>
            <c:v>SAT</c:v>
          </c:tx>
          <c:spPr>
            <a:ln w="12700">
              <a:solidFill>
                <a:srgbClr val="800000"/>
              </a:solidFill>
              <a:prstDash val="solid"/>
            </a:ln>
          </c:spPr>
          <c:marker>
            <c:symbol val="circle"/>
            <c:size val="5"/>
            <c:spPr>
              <a:solidFill>
                <a:srgbClr val="800000"/>
              </a:solidFill>
              <a:ln>
                <a:solidFill>
                  <a:srgbClr val="800000"/>
                </a:solidFill>
                <a:prstDash val="solid"/>
              </a:ln>
            </c:spPr>
          </c:marker>
          <c:val>
            <c:numRef>
              <c:f>Main!$J$154:$J$177</c:f>
              <c:numCache>
                <c:formatCode>0.00</c:formatCode>
                <c:ptCount val="24"/>
                <c:pt idx="0">
                  <c:v>0</c:v>
                </c:pt>
                <c:pt idx="1">
                  <c:v>0</c:v>
                </c:pt>
                <c:pt idx="2">
                  <c:v>0</c:v>
                </c:pt>
                <c:pt idx="3">
                  <c:v>0</c:v>
                </c:pt>
                <c:pt idx="4">
                  <c:v>0</c:v>
                </c:pt>
                <c:pt idx="5">
                  <c:v>0</c:v>
                </c:pt>
                <c:pt idx="6">
                  <c:v>0</c:v>
                </c:pt>
                <c:pt idx="7">
                  <c:v>6.338709677419355</c:v>
                </c:pt>
                <c:pt idx="8">
                  <c:v>10.741935483870828</c:v>
                </c:pt>
                <c:pt idx="9">
                  <c:v>3.7258064516129052</c:v>
                </c:pt>
                <c:pt idx="10">
                  <c:v>3.6290322580645422</c:v>
                </c:pt>
                <c:pt idx="11">
                  <c:v>1.5</c:v>
                </c:pt>
                <c:pt idx="12">
                  <c:v>3.2419354838709675</c:v>
                </c:pt>
                <c:pt idx="13">
                  <c:v>2.0806451612903225</c:v>
                </c:pt>
                <c:pt idx="14">
                  <c:v>5.8064516129032304</c:v>
                </c:pt>
                <c:pt idx="15">
                  <c:v>9.9677419354838701</c:v>
                </c:pt>
                <c:pt idx="16">
                  <c:v>13.35483870967742</c:v>
                </c:pt>
                <c:pt idx="17">
                  <c:v>12.483870967741936</c:v>
                </c:pt>
                <c:pt idx="18">
                  <c:v>5.2741935483870845</c:v>
                </c:pt>
                <c:pt idx="19">
                  <c:v>0</c:v>
                </c:pt>
                <c:pt idx="20">
                  <c:v>0</c:v>
                </c:pt>
                <c:pt idx="21">
                  <c:v>0</c:v>
                </c:pt>
                <c:pt idx="22">
                  <c:v>0</c:v>
                </c:pt>
                <c:pt idx="23">
                  <c:v>0</c:v>
                </c:pt>
              </c:numCache>
            </c:numRef>
          </c:val>
        </c:ser>
        <c:ser>
          <c:idx val="6"/>
          <c:order val="6"/>
          <c:tx>
            <c:v>SUN</c:v>
          </c:tx>
          <c:spPr>
            <a:ln w="12700">
              <a:solidFill>
                <a:srgbClr val="008080"/>
              </a:solidFill>
              <a:prstDash val="solid"/>
            </a:ln>
          </c:spPr>
          <c:marker>
            <c:symbol val="plus"/>
            <c:size val="5"/>
            <c:spPr>
              <a:noFill/>
              <a:ln>
                <a:solidFill>
                  <a:srgbClr val="008080"/>
                </a:solidFill>
                <a:prstDash val="solid"/>
              </a:ln>
            </c:spPr>
          </c:marker>
          <c:val>
            <c:numRef>
              <c:f>Main!$J$182:$J$205</c:f>
              <c:numCache>
                <c:formatCode>0.00</c:formatCode>
                <c:ptCount val="24"/>
                <c:pt idx="0">
                  <c:v>0</c:v>
                </c:pt>
                <c:pt idx="1">
                  <c:v>0</c:v>
                </c:pt>
                <c:pt idx="2">
                  <c:v>0</c:v>
                </c:pt>
                <c:pt idx="3">
                  <c:v>0</c:v>
                </c:pt>
                <c:pt idx="4">
                  <c:v>0</c:v>
                </c:pt>
                <c:pt idx="5">
                  <c:v>0</c:v>
                </c:pt>
                <c:pt idx="6">
                  <c:v>0</c:v>
                </c:pt>
                <c:pt idx="7">
                  <c:v>0</c:v>
                </c:pt>
                <c:pt idx="8">
                  <c:v>0</c:v>
                </c:pt>
                <c:pt idx="9">
                  <c:v>0</c:v>
                </c:pt>
                <c:pt idx="10">
                  <c:v>0</c:v>
                </c:pt>
                <c:pt idx="11">
                  <c:v>0</c:v>
                </c:pt>
                <c:pt idx="12">
                  <c:v>1.7419354838709658</c:v>
                </c:pt>
                <c:pt idx="13">
                  <c:v>0.58064516129032251</c:v>
                </c:pt>
                <c:pt idx="14">
                  <c:v>4.7419354838709724</c:v>
                </c:pt>
                <c:pt idx="15">
                  <c:v>2.8548387096774195</c:v>
                </c:pt>
                <c:pt idx="16">
                  <c:v>0</c:v>
                </c:pt>
                <c:pt idx="17">
                  <c:v>0</c:v>
                </c:pt>
                <c:pt idx="18">
                  <c:v>0</c:v>
                </c:pt>
                <c:pt idx="19">
                  <c:v>0</c:v>
                </c:pt>
                <c:pt idx="20">
                  <c:v>0</c:v>
                </c:pt>
                <c:pt idx="21">
                  <c:v>0</c:v>
                </c:pt>
                <c:pt idx="22">
                  <c:v>0</c:v>
                </c:pt>
                <c:pt idx="23">
                  <c:v>0</c:v>
                </c:pt>
              </c:numCache>
            </c:numRef>
          </c:val>
        </c:ser>
        <c:marker val="1"/>
        <c:axId val="64230912"/>
        <c:axId val="64232832"/>
      </c:lineChart>
      <c:catAx>
        <c:axId val="64230912"/>
        <c:scaling>
          <c:orientation val="minMax"/>
        </c:scaling>
        <c:axPos val="b"/>
        <c:title>
          <c:tx>
            <c:rich>
              <a:bodyPr/>
              <a:lstStyle/>
              <a:p>
                <a:pPr>
                  <a:defRPr sz="1050" b="1" i="0" u="none" strike="noStrike" baseline="0">
                    <a:solidFill>
                      <a:srgbClr val="000000"/>
                    </a:solidFill>
                    <a:latin typeface="Arial"/>
                    <a:ea typeface="Arial"/>
                    <a:cs typeface="Arial"/>
                  </a:defRPr>
                </a:pPr>
                <a:r>
                  <a:rPr lang="en-US"/>
                  <a:t>TIME</a:t>
                </a:r>
              </a:p>
            </c:rich>
          </c:tx>
          <c:layout>
            <c:manualLayout>
              <c:xMode val="edge"/>
              <c:yMode val="edge"/>
              <c:x val="0.44901557201027981"/>
              <c:y val="0.95259019093201558"/>
            </c:manualLayout>
          </c:layout>
          <c:spPr>
            <a:noFill/>
            <a:ln w="25400">
              <a:noFill/>
            </a:ln>
          </c:spPr>
        </c:title>
        <c:numFmt formatCode="General"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64232832"/>
        <c:crosses val="autoZero"/>
        <c:auto val="1"/>
        <c:lblAlgn val="ctr"/>
        <c:lblOffset val="100"/>
        <c:tickLblSkip val="2"/>
        <c:tickMarkSkip val="1"/>
      </c:catAx>
      <c:valAx>
        <c:axId val="64232832"/>
        <c:scaling>
          <c:orientation val="minMax"/>
        </c:scaling>
        <c:axPos val="l"/>
        <c:majorGridlines>
          <c:spPr>
            <a:ln w="3175">
              <a:solidFill>
                <a:srgbClr val="000000"/>
              </a:solidFill>
              <a:prstDash val="solid"/>
            </a:ln>
          </c:spPr>
        </c:majorGridlines>
        <c:title>
          <c:tx>
            <c:rich>
              <a:bodyPr/>
              <a:lstStyle/>
              <a:p>
                <a:pPr>
                  <a:defRPr sz="1050" b="1" i="0" u="none" strike="noStrike" baseline="0">
                    <a:solidFill>
                      <a:srgbClr val="000000"/>
                    </a:solidFill>
                    <a:latin typeface="Arial"/>
                    <a:ea typeface="Arial"/>
                    <a:cs typeface="Arial"/>
                  </a:defRPr>
                </a:pPr>
                <a:r>
                  <a:rPr lang="en-US"/>
                  <a:t>DELAY (MIN)</a:t>
                </a:r>
              </a:p>
            </c:rich>
          </c:tx>
          <c:layout>
            <c:manualLayout>
              <c:xMode val="edge"/>
              <c:yMode val="edge"/>
              <c:x val="1.5662911927675705E-2"/>
              <c:y val="0.35497928722765804"/>
            </c:manualLayout>
          </c:layout>
          <c:spPr>
            <a:noFill/>
            <a:ln w="25400">
              <a:noFill/>
            </a:ln>
          </c:spPr>
        </c:title>
        <c:numFmt formatCode="0.00" sourceLinked="1"/>
        <c:tickLblPos val="nextTo"/>
        <c:spPr>
          <a:ln w="3175">
            <a:solidFill>
              <a:srgbClr val="000000"/>
            </a:solidFill>
            <a:prstDash val="solid"/>
          </a:ln>
        </c:spPr>
        <c:txPr>
          <a:bodyPr rot="0" vert="horz"/>
          <a:lstStyle/>
          <a:p>
            <a:pPr>
              <a:defRPr sz="1050" b="0" i="0" u="none" strike="noStrike" baseline="0">
                <a:solidFill>
                  <a:srgbClr val="000000"/>
                </a:solidFill>
                <a:latin typeface="Arial"/>
                <a:ea typeface="Arial"/>
                <a:cs typeface="Arial"/>
              </a:defRPr>
            </a:pPr>
            <a:endParaRPr lang="en-US"/>
          </a:p>
        </c:txPr>
        <c:crossAx val="64230912"/>
        <c:crosses val="autoZero"/>
        <c:crossBetween val="between"/>
      </c:valAx>
      <c:spPr>
        <a:solidFill>
          <a:srgbClr val="C0C0C0"/>
        </a:solidFill>
        <a:ln w="12700">
          <a:solidFill>
            <a:srgbClr val="808080"/>
          </a:solidFill>
          <a:prstDash val="solid"/>
        </a:ln>
      </c:spPr>
    </c:plotArea>
    <c:legend>
      <c:legendPos val="r"/>
      <c:layout>
        <c:manualLayout>
          <c:xMode val="edge"/>
          <c:yMode val="edge"/>
          <c:x val="0.18366742160210736"/>
          <c:y val="0.17697987751531091"/>
          <c:w val="0.12667660208643816"/>
          <c:h val="0.33725551953065075"/>
        </c:manualLayout>
      </c:layout>
      <c:spPr>
        <a:solidFill>
          <a:srgbClr val="FFFFFF"/>
        </a:solidFill>
        <a:ln w="3175">
          <a:solidFill>
            <a:srgbClr val="000000"/>
          </a:solidFill>
          <a:prstDash val="solid"/>
        </a:ln>
      </c:spPr>
      <c:txPr>
        <a:bodyPr/>
        <a:lstStyle/>
        <a:p>
          <a:pPr>
            <a:defRPr sz="88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1933</Words>
  <Characters>9599</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Smith</dc:creator>
  <cp:lastModifiedBy>smithk</cp:lastModifiedBy>
  <cp:revision>2</cp:revision>
  <dcterms:created xsi:type="dcterms:W3CDTF">2012-06-07T13:19:00Z</dcterms:created>
  <dcterms:modified xsi:type="dcterms:W3CDTF">2012-06-07T13:19:00Z</dcterms:modified>
</cp:coreProperties>
</file>