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2E5D26">
        <w:rPr>
          <w:color w:val="000000"/>
        </w:rPr>
        <w:t>M</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F75B35">
        <w:rPr>
          <w:noProof/>
          <w:color w:val="000000"/>
        </w:rPr>
        <w:drawing>
          <wp:inline distT="0" distB="0" distL="0" distR="0">
            <wp:extent cx="4611370" cy="92900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611370" cy="929005"/>
                    </a:xfrm>
                    <a:prstGeom prst="rect">
                      <a:avLst/>
                    </a:prstGeom>
                    <a:noFill/>
                    <a:ln w="9525">
                      <a:noFill/>
                      <a:miter lim="800000"/>
                      <a:headEnd/>
                      <a:tailEnd/>
                    </a:ln>
                  </pic:spPr>
                </pic:pic>
              </a:graphicData>
            </a:graphic>
          </wp:inline>
        </w:drawing>
      </w:r>
    </w:p>
    <w:p w:rsidR="00A769F7" w:rsidRDefault="00F75B35" w:rsidP="000635A1">
      <w:pPr>
        <w:rPr>
          <w:color w:val="000000"/>
        </w:rPr>
      </w:pPr>
      <w:r>
        <w:rPr>
          <w:noProof/>
          <w:color w:val="000000"/>
        </w:rPr>
        <w:drawing>
          <wp:inline distT="0" distB="0" distL="0" distR="0">
            <wp:extent cx="4566920" cy="953770"/>
            <wp:effectExtent l="1905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66920" cy="953770"/>
                    </a:xfrm>
                    <a:prstGeom prst="rect">
                      <a:avLst/>
                    </a:prstGeom>
                    <a:noFill/>
                    <a:ln w="9525">
                      <a:noFill/>
                      <a:miter lim="800000"/>
                      <a:headEnd/>
                      <a:tailEnd/>
                    </a:ln>
                  </pic:spPr>
                </pic:pic>
              </a:graphicData>
            </a:graphic>
          </wp:inline>
        </w:drawing>
      </w:r>
    </w:p>
    <w:p w:rsidR="00A769F7" w:rsidRDefault="00F75B35" w:rsidP="000635A1">
      <w:pPr>
        <w:rPr>
          <w:color w:val="000000"/>
        </w:rPr>
      </w:pPr>
      <w:r>
        <w:rPr>
          <w:noProof/>
          <w:color w:val="000000"/>
        </w:rPr>
        <w:drawing>
          <wp:inline distT="0" distB="0" distL="0" distR="0">
            <wp:extent cx="4566920" cy="1038225"/>
            <wp:effectExtent l="19050" t="0" r="508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566920" cy="1038225"/>
                    </a:xfrm>
                    <a:prstGeom prst="rect">
                      <a:avLst/>
                    </a:prstGeom>
                    <a:noFill/>
                    <a:ln w="9525">
                      <a:noFill/>
                      <a:miter lim="800000"/>
                      <a:headEnd/>
                      <a:tailEnd/>
                    </a:ln>
                  </pic:spPr>
                </pic:pic>
              </a:graphicData>
            </a:graphic>
          </wp:inline>
        </w:drawing>
      </w:r>
    </w:p>
    <w:p w:rsidR="00B23214" w:rsidRPr="00B23214" w:rsidRDefault="00B23214" w:rsidP="00B23214">
      <w:pPr>
        <w:pStyle w:val="Heading1"/>
        <w:rPr>
          <w:color w:val="FF0000"/>
        </w:rPr>
      </w:pPr>
      <w:r w:rsidRPr="00B23214">
        <w:rPr>
          <w:color w:val="FF0000"/>
        </w:rPr>
        <w:t>Important Change</w:t>
      </w:r>
      <w:r w:rsidR="00BF2327">
        <w:rPr>
          <w:color w:val="FF0000"/>
        </w:rPr>
        <w:t>s</w:t>
      </w:r>
      <w:r w:rsidRPr="00B23214">
        <w:rPr>
          <w:color w:val="FF0000"/>
        </w:rPr>
        <w:t xml:space="preserve"> to Subcontract Process</w:t>
      </w:r>
    </w:p>
    <w:p w:rsidR="005112E0" w:rsidRDefault="00EF4177" w:rsidP="00B23214">
      <w:r w:rsidRPr="00EF4177">
        <w:t>The</w:t>
      </w:r>
      <w:r>
        <w:t xml:space="preserve"> contractor will submit </w:t>
      </w:r>
      <w:r w:rsidRPr="00534C77">
        <w:rPr>
          <w:b/>
        </w:rPr>
        <w:t>DBE commitments</w:t>
      </w:r>
      <w:r>
        <w:t xml:space="preserve"> at the time of bidding.  These commitments </w:t>
      </w:r>
      <w:r w:rsidR="00D722FF">
        <w:t>can</w:t>
      </w:r>
      <w:r>
        <w:t xml:space="preserve"> be for </w:t>
      </w:r>
      <w:r w:rsidR="00D722FF">
        <w:t xml:space="preserve">DBE </w:t>
      </w:r>
      <w:r>
        <w:t xml:space="preserve">suppliers and/or haulers as well as </w:t>
      </w:r>
      <w:r w:rsidR="002E5D26">
        <w:t xml:space="preserve">DBE </w:t>
      </w:r>
      <w:r>
        <w:t>subcontract</w:t>
      </w:r>
      <w:r w:rsidR="00F41C55">
        <w:t>or</w:t>
      </w:r>
      <w:r>
        <w:t>s</w:t>
      </w:r>
      <w:r w:rsidR="00372388">
        <w:t>, and</w:t>
      </w:r>
      <w:r>
        <w:t xml:space="preserve"> </w:t>
      </w:r>
      <w:r w:rsidR="002E5D26">
        <w:t xml:space="preserve">may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Do NOT delete t</w:t>
      </w:r>
      <w:r w:rsidR="00B23214" w:rsidRPr="00534C77">
        <w:rPr>
          <w:u w:val="single"/>
        </w:rPr>
        <w:t>hese subcontracts</w:t>
      </w:r>
      <w:r w:rsidR="004E7878">
        <w:rPr>
          <w:u w:val="single"/>
        </w:rPr>
        <w:t>; they are to be left in the system</w:t>
      </w:r>
      <w:r w:rsidR="00B23214">
        <w:t>.</w:t>
      </w:r>
      <w:r w:rsidR="00B23214">
        <w:br/>
      </w:r>
      <w:r w:rsidR="00F75B35">
        <w:rPr>
          <w:noProof/>
        </w:rPr>
        <w:drawing>
          <wp:inline distT="0" distB="0" distL="0" distR="0">
            <wp:extent cx="4566920" cy="258000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66920" cy="2580005"/>
                    </a:xfrm>
                    <a:prstGeom prst="rect">
                      <a:avLst/>
                    </a:prstGeom>
                    <a:noFill/>
                    <a:ln w="9525">
                      <a:noFill/>
                      <a:miter lim="800000"/>
                      <a:headEnd/>
                      <a:tailEnd/>
                    </a:ln>
                  </pic:spPr>
                </pic:pic>
              </a:graphicData>
            </a:graphic>
          </wp:inline>
        </w:drawing>
      </w:r>
      <w:r w:rsidR="00B23214">
        <w:br/>
      </w:r>
    </w:p>
    <w:p w:rsidR="00372388" w:rsidRDefault="00534C77" w:rsidP="00B23214">
      <w:r>
        <w:lastRenderedPageBreak/>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select “DBE” from the drop down list.</w:t>
      </w:r>
    </w:p>
    <w:p w:rsidR="00DA63FC" w:rsidRDefault="00F75B35" w:rsidP="00B23214">
      <w:r>
        <w:rPr>
          <w:noProof/>
        </w:rPr>
        <w:drawing>
          <wp:inline distT="0" distB="0" distL="0" distR="0">
            <wp:extent cx="4547235" cy="258508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47235" cy="2585085"/>
                    </a:xfrm>
                    <a:prstGeom prst="rect">
                      <a:avLst/>
                    </a:prstGeom>
                    <a:noFill/>
                    <a:ln w="9525">
                      <a:noFill/>
                      <a:miter lim="800000"/>
                      <a:headEnd/>
                      <a:tailEnd/>
                    </a:ln>
                  </pic:spPr>
                </pic:pic>
              </a:graphicData>
            </a:graphic>
          </wp:inline>
        </w:drawing>
      </w:r>
    </w:p>
    <w:p w:rsidR="008933C8" w:rsidRDefault="008933C8" w:rsidP="008933C8">
      <w:pPr>
        <w:pStyle w:val="Heading1"/>
      </w:pPr>
      <w:r>
        <w:t>CUF Required</w:t>
      </w:r>
    </w:p>
    <w:p w:rsidR="008933C8" w:rsidRDefault="00CA18A9" w:rsidP="008933C8">
      <w:r>
        <w:t xml:space="preserve">To determine </w:t>
      </w:r>
      <w:r w:rsidR="00187175">
        <w:t>if</w:t>
      </w:r>
      <w:r>
        <w:t xml:space="preserve"> DBE subcontractors and supplier/haulers are performing a Commercially Useful Function (CUF), the project office must conduct CUF interviews as outlined in </w:t>
      </w:r>
      <w:hyperlink r:id="rId12" w:history="1">
        <w:r w:rsidRPr="00CA18A9">
          <w:rPr>
            <w:rStyle w:val="Hyperlink"/>
          </w:rPr>
          <w:t>EPG Category 146.3</w:t>
        </w:r>
      </w:hyperlink>
      <w:r>
        <w:t xml:space="preserve">.  </w:t>
      </w:r>
      <w:r w:rsidR="00187175">
        <w:t>When the Save icon is selected on the Description tab, “MBE”/”WBE” will change to “DBE” the CUF Required check box will automatically select.  Once the CUF interview is performed, the “CUF Review Date” should be entered.</w:t>
      </w:r>
    </w:p>
    <w:p w:rsidR="00187175" w:rsidRPr="008933C8" w:rsidRDefault="00F75B35" w:rsidP="008933C8">
      <w:r>
        <w:rPr>
          <w:noProof/>
        </w:rPr>
        <w:drawing>
          <wp:inline distT="0" distB="0" distL="0" distR="0">
            <wp:extent cx="4566920" cy="2629535"/>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566920" cy="2629535"/>
                    </a:xfrm>
                    <a:prstGeom prst="rect">
                      <a:avLst/>
                    </a:prstGeom>
                    <a:noFill/>
                    <a:ln w="9525">
                      <a:noFill/>
                      <a:miter lim="800000"/>
                      <a:headEnd/>
                      <a:tailEnd/>
                    </a:ln>
                  </pic:spPr>
                </pic:pic>
              </a:graphicData>
            </a:graphic>
          </wp:inline>
        </w:drawing>
      </w:r>
    </w:p>
    <w:p w:rsidR="00B725C8" w:rsidRDefault="00B725C8" w:rsidP="00B23214">
      <w:r>
        <w:t xml:space="preserve">When a Request to Subcontract (Form C-220) is received from the prime for a DBE subcontractor whose information has been passed into the system, verify the DBE Type.  If it is something other than </w:t>
      </w:r>
      <w:r>
        <w:lastRenderedPageBreak/>
        <w:t xml:space="preserve">“DBE” (as noted above), change it to DBE.  Select “SubCont Type” and “Work Type,” then click the Items tab and add the contract items as described under the “Items Tab” heading of this article. </w:t>
      </w:r>
    </w:p>
    <w:p w:rsidR="005112E0" w:rsidRDefault="005112E0" w:rsidP="00B23214">
      <w:r>
        <w:t xml:space="preserve">When a Request to Subcontract (Form C-220) is received from the prime for a non-DBE subcontractor or for a DBE subcontractor whose information was not passed into </w:t>
      </w:r>
      <w:r w:rsidR="00C26321">
        <w:t>SM</w:t>
      </w:r>
      <w:r>
        <w:t>, proceed as directed below.</w:t>
      </w:r>
    </w:p>
    <w:p w:rsidR="00B23214" w:rsidRPr="00D86F3A" w:rsidRDefault="00B23214" w:rsidP="00B23214">
      <w:pPr>
        <w:pStyle w:val="Heading1"/>
      </w:pPr>
      <w:r>
        <w:t>Description Tab</w:t>
      </w:r>
    </w:p>
    <w:p w:rsidR="00B23214" w:rsidRDefault="00F75B35" w:rsidP="00B23214">
      <w:pPr>
        <w:rPr>
          <w:color w:val="000000"/>
        </w:rPr>
      </w:pPr>
      <w:r>
        <w:rPr>
          <w:noProof/>
          <w:color w:val="000000"/>
        </w:rPr>
        <w:drawing>
          <wp:inline distT="0" distB="0" distL="0" distR="0">
            <wp:extent cx="4557395" cy="2263775"/>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557395" cy="2263775"/>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enter contract numbers</w:t>
      </w:r>
      <w:r w:rsidR="00EF4177">
        <w:rPr>
          <w:color w:val="000000"/>
        </w:rPr>
        <w:t xml:space="preserve"> with a leading zero.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Pr>
          <w:color w:val="000000"/>
        </w:rPr>
        <w:t>Do not enter anything in this field.  MoD</w:t>
      </w:r>
      <w:r w:rsidR="003870A3">
        <w:rPr>
          <w:color w:val="000000"/>
        </w:rPr>
        <w:t>OT</w:t>
      </w:r>
      <w:r>
        <w:rPr>
          <w:color w:val="000000"/>
        </w:rPr>
        <w:t xml:space="preserve"> does not use parent subcontractors</w:t>
      </w:r>
      <w:r w:rsidR="00D86F3A" w:rsidRPr="00D86F3A">
        <w:t>.</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B725C8" w:rsidRDefault="00DF305B" w:rsidP="00DF305B">
      <w:pPr>
        <w:rPr>
          <w:u w:val="single"/>
        </w:rPr>
      </w:pPr>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p>
    <w:p w:rsidR="00043ABC" w:rsidRDefault="00F75B35" w:rsidP="00DF305B">
      <w:r>
        <w:rPr>
          <w:noProof/>
        </w:rPr>
        <w:drawing>
          <wp:inline distT="0" distB="0" distL="0" distR="0">
            <wp:extent cx="2777490" cy="1527175"/>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777490" cy="1527175"/>
                    </a:xfrm>
                    <a:prstGeom prst="rect">
                      <a:avLst/>
                    </a:prstGeom>
                    <a:noFill/>
                    <a:ln w="9525">
                      <a:noFill/>
                      <a:miter lim="800000"/>
                      <a:headEnd/>
                      <a:tailEnd/>
                    </a:ln>
                  </pic:spPr>
                </pic:pic>
              </a:graphicData>
            </a:graphic>
          </wp:inline>
        </w:drawing>
      </w:r>
    </w:p>
    <w:p w:rsidR="00FA519A" w:rsidRPr="00FA519A" w:rsidRDefault="00DF305B" w:rsidP="00DF305B">
      <w:pPr>
        <w:ind w:left="720" w:hanging="720"/>
      </w:pPr>
      <w:r w:rsidRPr="00043ABC">
        <w:rPr>
          <w:b/>
        </w:rPr>
        <w:lastRenderedPageBreak/>
        <w:t>Note</w:t>
      </w:r>
      <w:r>
        <w:t>:</w:t>
      </w:r>
      <w:r>
        <w:tab/>
      </w:r>
      <w:r w:rsidR="00F536F7">
        <w:t>Contact</w:t>
      </w:r>
      <w:r>
        <w:t xml:space="preserve"> the </w:t>
      </w:r>
      <w:hyperlink r:id="rId16"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074858">
        <w:rPr>
          <w:color w:val="000000"/>
        </w:rPr>
        <w:br/>
      </w:r>
      <w:r w:rsidR="00F75B35">
        <w:rPr>
          <w:noProof/>
          <w:color w:val="000000"/>
        </w:rPr>
        <w:drawing>
          <wp:inline distT="0" distB="0" distL="0" distR="0">
            <wp:extent cx="2486025" cy="756285"/>
            <wp:effectExtent l="19050" t="0" r="9525"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2486025" cy="756285"/>
                    </a:xfrm>
                    <a:prstGeom prst="rect">
                      <a:avLst/>
                    </a:prstGeom>
                    <a:noFill/>
                    <a:ln w="9525">
                      <a:noFill/>
                      <a:miter lim="800000"/>
                      <a:headEnd/>
                      <a:tailEnd/>
                    </a:ln>
                  </pic:spPr>
                </pic:pic>
              </a:graphicData>
            </a:graphic>
          </wp:inline>
        </w:drawing>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531D0D" w:rsidRDefault="00540824">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p>
    <w:p w:rsidR="009C1694" w:rsidRDefault="009C1694" w:rsidP="009C1694">
      <w:pPr>
        <w:pStyle w:val="Heading1"/>
      </w:pPr>
      <w:r>
        <w:t>Items Tab</w:t>
      </w:r>
    </w:p>
    <w:p w:rsidR="009C1694" w:rsidRDefault="009C1694" w:rsidP="009C1694">
      <w:r>
        <w:t>Click the New icon to open the Items detail</w:t>
      </w:r>
      <w:r w:rsidR="005C5D19">
        <w:t xml:space="preserve"> at the bottom of the</w:t>
      </w:r>
      <w:r>
        <w:t xml:space="preserve"> window.</w:t>
      </w:r>
    </w:p>
    <w:p w:rsidR="009C1694" w:rsidRDefault="00F75B35" w:rsidP="009C1694">
      <w:r>
        <w:rPr>
          <w:noProof/>
        </w:rPr>
        <w:drawing>
          <wp:inline distT="0" distB="0" distL="0" distR="0">
            <wp:extent cx="4517390" cy="2407285"/>
            <wp:effectExtent l="19050" t="0" r="0" b="0"/>
            <wp:docPr id="1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4517390" cy="2407285"/>
                    </a:xfrm>
                    <a:prstGeom prst="rect">
                      <a:avLst/>
                    </a:prstGeom>
                    <a:noFill/>
                    <a:ln w="9525">
                      <a:noFill/>
                      <a:miter lim="800000"/>
                      <a:headEnd/>
                      <a:tailEnd/>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lastRenderedPageBreak/>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F75B35" w:rsidP="00C6305C">
      <w:pPr>
        <w:rPr>
          <w:b/>
          <w:color w:val="0000FF"/>
        </w:rPr>
      </w:pPr>
      <w:r>
        <w:rPr>
          <w:b/>
          <w:noProof/>
          <w:color w:val="0000FF"/>
        </w:rPr>
        <w:drawing>
          <wp:inline distT="0" distB="0" distL="0" distR="0">
            <wp:extent cx="4527550" cy="160147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527550" cy="1601470"/>
                    </a:xfrm>
                    <a:prstGeom prst="rect">
                      <a:avLst/>
                    </a:prstGeom>
                    <a:noFill/>
                    <a:ln w="9525">
                      <a:noFill/>
                      <a:miter lim="800000"/>
                      <a:headEnd/>
                      <a:tailEnd/>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Certain situations will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2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27" w:rsidRDefault="00BF2327" w:rsidP="00EC25EB">
      <w:pPr>
        <w:spacing w:after="0"/>
      </w:pPr>
      <w:r>
        <w:separator/>
      </w:r>
    </w:p>
  </w:endnote>
  <w:endnote w:type="continuationSeparator" w:id="0">
    <w:p w:rsidR="00BF2327" w:rsidRDefault="00BF2327"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27" w:rsidRDefault="00BF2327" w:rsidP="000071FD">
    <w:pPr>
      <w:pStyle w:val="Footer"/>
    </w:pPr>
    <w:r>
      <w:t>Subcontracts (Revised 08/2012)</w:t>
    </w:r>
    <w:r>
      <w:tab/>
    </w:r>
    <w:r>
      <w:tab/>
      <w:t xml:space="preserve">Page </w:t>
    </w:r>
    <w:r w:rsidR="00611B05">
      <w:rPr>
        <w:b/>
      </w:rPr>
      <w:fldChar w:fldCharType="begin"/>
    </w:r>
    <w:r>
      <w:rPr>
        <w:b/>
      </w:rPr>
      <w:instrText xml:space="preserve"> PAGE </w:instrText>
    </w:r>
    <w:r w:rsidR="00611B05">
      <w:rPr>
        <w:b/>
      </w:rPr>
      <w:fldChar w:fldCharType="separate"/>
    </w:r>
    <w:r w:rsidR="00F75B35">
      <w:rPr>
        <w:b/>
        <w:noProof/>
      </w:rPr>
      <w:t>1</w:t>
    </w:r>
    <w:r w:rsidR="00611B05">
      <w:rPr>
        <w:b/>
      </w:rPr>
      <w:fldChar w:fldCharType="end"/>
    </w:r>
    <w:r>
      <w:t xml:space="preserve"> of </w:t>
    </w:r>
    <w:r w:rsidR="00611B05">
      <w:rPr>
        <w:b/>
      </w:rPr>
      <w:fldChar w:fldCharType="begin"/>
    </w:r>
    <w:r>
      <w:rPr>
        <w:b/>
      </w:rPr>
      <w:instrText xml:space="preserve"> NUMPAGES  </w:instrText>
    </w:r>
    <w:r w:rsidR="00611B05">
      <w:rPr>
        <w:b/>
      </w:rPr>
      <w:fldChar w:fldCharType="separate"/>
    </w:r>
    <w:r w:rsidR="00F75B35">
      <w:rPr>
        <w:b/>
        <w:noProof/>
      </w:rPr>
      <w:t>5</w:t>
    </w:r>
    <w:r w:rsidR="00611B05">
      <w:rPr>
        <w:b/>
      </w:rPr>
      <w:fldChar w:fldCharType="end"/>
    </w:r>
  </w:p>
  <w:p w:rsidR="00BF2327" w:rsidRDefault="00BF2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27" w:rsidRDefault="00BF2327" w:rsidP="00EC25EB">
      <w:pPr>
        <w:spacing w:after="0"/>
      </w:pPr>
      <w:r>
        <w:separator/>
      </w:r>
    </w:p>
  </w:footnote>
  <w:footnote w:type="continuationSeparator" w:id="0">
    <w:p w:rsidR="00BF2327" w:rsidRDefault="00BF2327"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3857"/>
    <w:rsid w:val="00043ABC"/>
    <w:rsid w:val="000635A1"/>
    <w:rsid w:val="00074858"/>
    <w:rsid w:val="000A54EF"/>
    <w:rsid w:val="000D0BB2"/>
    <w:rsid w:val="000E09D9"/>
    <w:rsid w:val="000F71E7"/>
    <w:rsid w:val="00137B9B"/>
    <w:rsid w:val="00187175"/>
    <w:rsid w:val="001A189F"/>
    <w:rsid w:val="001C7EC8"/>
    <w:rsid w:val="001F2694"/>
    <w:rsid w:val="001F2AB8"/>
    <w:rsid w:val="00207D47"/>
    <w:rsid w:val="00215C85"/>
    <w:rsid w:val="00230CAF"/>
    <w:rsid w:val="00257DAF"/>
    <w:rsid w:val="00266096"/>
    <w:rsid w:val="00283B5D"/>
    <w:rsid w:val="002A1E22"/>
    <w:rsid w:val="002C79A2"/>
    <w:rsid w:val="002E5D26"/>
    <w:rsid w:val="00306996"/>
    <w:rsid w:val="00306C5C"/>
    <w:rsid w:val="00317875"/>
    <w:rsid w:val="003329FA"/>
    <w:rsid w:val="00334525"/>
    <w:rsid w:val="0033660B"/>
    <w:rsid w:val="00372388"/>
    <w:rsid w:val="003870A3"/>
    <w:rsid w:val="003A11A1"/>
    <w:rsid w:val="004339E6"/>
    <w:rsid w:val="004A08D6"/>
    <w:rsid w:val="004C7ECB"/>
    <w:rsid w:val="004E7878"/>
    <w:rsid w:val="004F0A3F"/>
    <w:rsid w:val="004F3581"/>
    <w:rsid w:val="004F6C2A"/>
    <w:rsid w:val="005112E0"/>
    <w:rsid w:val="00531D0D"/>
    <w:rsid w:val="00532CEF"/>
    <w:rsid w:val="00534C77"/>
    <w:rsid w:val="00540824"/>
    <w:rsid w:val="00540EA7"/>
    <w:rsid w:val="0058139F"/>
    <w:rsid w:val="00593FB6"/>
    <w:rsid w:val="005C5D19"/>
    <w:rsid w:val="006074C3"/>
    <w:rsid w:val="00611740"/>
    <w:rsid w:val="00611B05"/>
    <w:rsid w:val="00645048"/>
    <w:rsid w:val="00646D42"/>
    <w:rsid w:val="00647C57"/>
    <w:rsid w:val="00654CF9"/>
    <w:rsid w:val="006664A2"/>
    <w:rsid w:val="00683F3A"/>
    <w:rsid w:val="006C1B76"/>
    <w:rsid w:val="006D10C7"/>
    <w:rsid w:val="006F1DBE"/>
    <w:rsid w:val="0071211D"/>
    <w:rsid w:val="00725F6A"/>
    <w:rsid w:val="00750003"/>
    <w:rsid w:val="00766409"/>
    <w:rsid w:val="00771887"/>
    <w:rsid w:val="007835D5"/>
    <w:rsid w:val="0078677A"/>
    <w:rsid w:val="007E0CB7"/>
    <w:rsid w:val="00811E94"/>
    <w:rsid w:val="0087144E"/>
    <w:rsid w:val="008933C8"/>
    <w:rsid w:val="008A27D1"/>
    <w:rsid w:val="008D0399"/>
    <w:rsid w:val="00912E28"/>
    <w:rsid w:val="009313E3"/>
    <w:rsid w:val="00967551"/>
    <w:rsid w:val="00973871"/>
    <w:rsid w:val="009C1694"/>
    <w:rsid w:val="009D4A8E"/>
    <w:rsid w:val="009D7075"/>
    <w:rsid w:val="00A206B9"/>
    <w:rsid w:val="00A31B3E"/>
    <w:rsid w:val="00A43FDD"/>
    <w:rsid w:val="00A769F7"/>
    <w:rsid w:val="00AE2AD8"/>
    <w:rsid w:val="00B15280"/>
    <w:rsid w:val="00B17D0E"/>
    <w:rsid w:val="00B23214"/>
    <w:rsid w:val="00B32AFD"/>
    <w:rsid w:val="00B429B6"/>
    <w:rsid w:val="00B70533"/>
    <w:rsid w:val="00B725C8"/>
    <w:rsid w:val="00BB0247"/>
    <w:rsid w:val="00BF18BB"/>
    <w:rsid w:val="00BF2327"/>
    <w:rsid w:val="00C26321"/>
    <w:rsid w:val="00C45B7D"/>
    <w:rsid w:val="00C6305C"/>
    <w:rsid w:val="00C642FE"/>
    <w:rsid w:val="00C814D3"/>
    <w:rsid w:val="00CA18A9"/>
    <w:rsid w:val="00CB647D"/>
    <w:rsid w:val="00CF2919"/>
    <w:rsid w:val="00D62B00"/>
    <w:rsid w:val="00D722FF"/>
    <w:rsid w:val="00D827F9"/>
    <w:rsid w:val="00D86F3A"/>
    <w:rsid w:val="00DA63FC"/>
    <w:rsid w:val="00DF2E9A"/>
    <w:rsid w:val="00DF305B"/>
    <w:rsid w:val="00E13ED7"/>
    <w:rsid w:val="00E21DD1"/>
    <w:rsid w:val="00E614B0"/>
    <w:rsid w:val="00E64BCD"/>
    <w:rsid w:val="00E7294E"/>
    <w:rsid w:val="00E94F88"/>
    <w:rsid w:val="00E96817"/>
    <w:rsid w:val="00EA7A00"/>
    <w:rsid w:val="00EB360E"/>
    <w:rsid w:val="00EC25EB"/>
    <w:rsid w:val="00EE1A78"/>
    <w:rsid w:val="00EF4177"/>
    <w:rsid w:val="00F17D0C"/>
    <w:rsid w:val="00F2271E"/>
    <w:rsid w:val="00F41C55"/>
    <w:rsid w:val="00F536F7"/>
    <w:rsid w:val="00F75B35"/>
    <w:rsid w:val="00F93A2F"/>
    <w:rsid w:val="00FA519A"/>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pg.modot.org/index.php?title=Category:146_Disadvantaged_Business_Enterprise_%28DBE%29"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Christina.Teter@modot.mo.gov?subject=Need%20Subcontractor%20Adde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Important Changes to Subcontract Process</vt:lpstr>
      <vt:lpstr>CUF Required</vt:lpstr>
      <vt:lpstr>Description Tab</vt:lpstr>
      <vt:lpstr>Items Tab</vt:lpstr>
      <vt:lpstr>Modifying Existing Subcontracts</vt:lpstr>
    </vt:vector>
  </TitlesOfParts>
  <Company>MoDOT</Company>
  <LinksUpToDate>false</LinksUpToDate>
  <CharactersWithSpaces>6168</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2011-04-26T19:08:00Z</cp:lastPrinted>
  <dcterms:created xsi:type="dcterms:W3CDTF">2012-08-31T18:52:00Z</dcterms:created>
  <dcterms:modified xsi:type="dcterms:W3CDTF">2012-08-31T18:52:00Z</dcterms:modified>
</cp:coreProperties>
</file>