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EB360E" w:rsidP="00D86F3A">
      <w:pPr>
        <w:pStyle w:val="Title"/>
      </w:pPr>
      <w:bookmarkStart w:id="0" w:name="_GoBack"/>
      <w:bookmarkEnd w:id="0"/>
      <w:r>
        <w:t xml:space="preserve">Quick Reference Guide -- </w:t>
      </w:r>
      <w:r w:rsidR="00AE5696">
        <w:t>Change Order Reports</w:t>
      </w:r>
    </w:p>
    <w:p w:rsidR="00A769F7" w:rsidRDefault="00A769F7" w:rsidP="00A769F7">
      <w:pPr>
        <w:rPr>
          <w:color w:val="000000"/>
        </w:rPr>
      </w:pPr>
      <w:r w:rsidRPr="00BE36BB">
        <w:rPr>
          <w:color w:val="000000"/>
        </w:rPr>
        <w:t xml:space="preserve">This article is intended to guide </w:t>
      </w:r>
      <w:r>
        <w:rPr>
          <w:color w:val="000000"/>
        </w:rPr>
        <w:t xml:space="preserve">the user </w:t>
      </w:r>
      <w:r w:rsidRPr="00BE36BB">
        <w:rPr>
          <w:color w:val="000000"/>
        </w:rPr>
        <w:t xml:space="preserve">in the creation of a </w:t>
      </w:r>
      <w:r>
        <w:rPr>
          <w:color w:val="000000"/>
        </w:rPr>
        <w:t>change order</w:t>
      </w:r>
      <w:r w:rsidRPr="00BE36BB">
        <w:rPr>
          <w:color w:val="000000"/>
        </w:rPr>
        <w:t xml:space="preserve"> </w:t>
      </w:r>
      <w:r w:rsidR="0019355C">
        <w:rPr>
          <w:color w:val="000000"/>
        </w:rPr>
        <w:t xml:space="preserve">report </w:t>
      </w:r>
      <w:r w:rsidRPr="00BE36BB">
        <w:rPr>
          <w:color w:val="000000"/>
        </w:rPr>
        <w:t xml:space="preserve">in </w:t>
      </w:r>
      <w:r w:rsidR="00D91AB1">
        <w:rPr>
          <w:color w:val="000000"/>
        </w:rPr>
        <w:t>Cognos</w:t>
      </w:r>
      <w:r w:rsidRPr="00BE36BB">
        <w:rPr>
          <w:color w:val="000000"/>
        </w:rPr>
        <w:t>.</w:t>
      </w:r>
      <w:r>
        <w:rPr>
          <w:color w:val="000000"/>
        </w:rPr>
        <w:t xml:space="preserve">   </w:t>
      </w:r>
      <w:r w:rsidR="00C95B36">
        <w:t>Please read this QRG thoroughly before generating your change order report.  It is important that the instructions below are followed in order to obtain the correct results.</w:t>
      </w:r>
    </w:p>
    <w:p w:rsidR="00C95B36" w:rsidRDefault="002768F7" w:rsidP="00C95B36">
      <w:r>
        <w:t>There are four</w:t>
      </w:r>
      <w:r w:rsidR="0019355C">
        <w:t xml:space="preserve"> change order reports located in </w:t>
      </w:r>
      <w:r w:rsidR="00C817DA">
        <w:t>Cognos</w:t>
      </w:r>
      <w:r>
        <w:t xml:space="preserve"> – Official MoDOT Change Order Report, Offi</w:t>
      </w:r>
      <w:r w:rsidR="00C95B36">
        <w:t>cial MoDOT MILESTONE ADJUSTMENT</w:t>
      </w:r>
      <w:r>
        <w:t xml:space="preserve"> Change Order Report, Official MoDOT TIME ADJUSTMENT Change Order </w:t>
      </w:r>
      <w:r w:rsidRPr="00C95B36">
        <w:t xml:space="preserve">Report, </w:t>
      </w:r>
      <w:r w:rsidR="00C95B36" w:rsidRPr="00C95B36">
        <w:t>and Official MoDOT ZERO DOLLAR C</w:t>
      </w:r>
      <w:r w:rsidRPr="00C95B36">
        <w:t>hange Order Report</w:t>
      </w:r>
      <w:r w:rsidR="0019355C" w:rsidRPr="00C95B36">
        <w:t xml:space="preserve">. </w:t>
      </w:r>
    </w:p>
    <w:p w:rsidR="0019355C" w:rsidRDefault="002768F7" w:rsidP="00C95B36">
      <w:pPr>
        <w:rPr>
          <w:rFonts w:ascii="Helv" w:hAnsi="Helv" w:cs="Helv"/>
          <w:color w:val="000000"/>
          <w:sz w:val="20"/>
          <w:szCs w:val="20"/>
        </w:rPr>
      </w:pPr>
      <w:r w:rsidRPr="00C95B36">
        <w:t>The “Official MoDOT Change Order Report”</w:t>
      </w:r>
      <w:r>
        <w:t xml:space="preserve"> must be used</w:t>
      </w:r>
      <w:r w:rsidR="0019355C">
        <w:t xml:space="preserve"> for changes to</w:t>
      </w:r>
      <w:r w:rsidR="0019355C">
        <w:rPr>
          <w:b/>
          <w:bCs/>
        </w:rPr>
        <w:t xml:space="preserve"> Contract Items</w:t>
      </w:r>
      <w:r w:rsidR="0019355C">
        <w:t xml:space="preserve">. </w:t>
      </w:r>
      <w:r w:rsidR="0019355C">
        <w:rPr>
          <w:b/>
          <w:bCs/>
        </w:rPr>
        <w:t xml:space="preserve"> </w:t>
      </w:r>
      <w:r w:rsidR="0019355C" w:rsidRPr="00C95B36">
        <w:t xml:space="preserve">Make sure you are associating the change order reasons to </w:t>
      </w:r>
      <w:r w:rsidR="0019355C" w:rsidRPr="00C817DA">
        <w:rPr>
          <w:u w:val="single"/>
        </w:rPr>
        <w:t>specific</w:t>
      </w:r>
      <w:r w:rsidR="0019355C" w:rsidRPr="00C95B36">
        <w:t xml:space="preserve"> line items.  If you are not, the reasons will not print correctly on the report.</w:t>
      </w:r>
    </w:p>
    <w:p w:rsidR="00C95B36" w:rsidRDefault="00126115" w:rsidP="002768F7">
      <w:r>
        <w:t xml:space="preserve">All change order reports should be printed </w:t>
      </w:r>
      <w:r w:rsidR="0019355C">
        <w:t>after the change order status has been ch</w:t>
      </w:r>
      <w:r w:rsidR="00C95B36">
        <w:t>anged from "Draft" to "Pending."</w:t>
      </w:r>
      <w:r w:rsidR="0019355C">
        <w:t xml:space="preserve">  </w:t>
      </w:r>
      <w:r w:rsidR="00C95B36">
        <w:t>The results of your report are dependent on the fact that a</w:t>
      </w:r>
      <w:r w:rsidR="00C95B36">
        <w:rPr>
          <w:bCs/>
        </w:rPr>
        <w:t>ll</w:t>
      </w:r>
      <w:r w:rsidR="00C95B36">
        <w:t xml:space="preserve"> previous change orders, with the exception of Zero</w:t>
      </w:r>
      <w:r w:rsidR="00C817DA">
        <w:t xml:space="preserve"> </w:t>
      </w:r>
      <w:r w:rsidR="00C95B36">
        <w:t xml:space="preserve">Dollar or Time Extension change orders, </w:t>
      </w:r>
      <w:r w:rsidR="00C95B36">
        <w:rPr>
          <w:b/>
          <w:bCs/>
        </w:rPr>
        <w:t>MUST</w:t>
      </w:r>
      <w:r w:rsidR="00C95B36">
        <w:t xml:space="preserve"> be in "Approved" status.  </w:t>
      </w:r>
    </w:p>
    <w:p w:rsidR="0019355C" w:rsidRDefault="0019355C" w:rsidP="002768F7">
      <w:r>
        <w:t>All established Policies should be followed.  For instance, Categories must be ent</w:t>
      </w:r>
      <w:r w:rsidR="002768F7">
        <w:t>ered for contingent items; the r</w:t>
      </w:r>
      <w:r>
        <w:t xml:space="preserve">easons </w:t>
      </w:r>
      <w:r>
        <w:rPr>
          <w:b/>
          <w:bCs/>
        </w:rPr>
        <w:t>MUST</w:t>
      </w:r>
      <w:r w:rsidR="002768F7">
        <w:t xml:space="preserve"> be associated to </w:t>
      </w:r>
      <w:r w:rsidR="00D91AB1">
        <w:t xml:space="preserve">specific </w:t>
      </w:r>
      <w:r w:rsidR="002768F7">
        <w:t>l</w:t>
      </w:r>
      <w:r>
        <w:t xml:space="preserve">ine </w:t>
      </w:r>
      <w:r w:rsidR="002768F7">
        <w:t>n</w:t>
      </w:r>
      <w:r>
        <w:t xml:space="preserve">umbers, etc.  </w:t>
      </w:r>
    </w:p>
    <w:p w:rsidR="0019355C" w:rsidRPr="0019355C" w:rsidRDefault="00B508FE" w:rsidP="00FB5EB3">
      <w:pPr>
        <w:pStyle w:val="Heading1"/>
      </w:pPr>
      <w:r>
        <w:t>Generating</w:t>
      </w:r>
      <w:r w:rsidR="0019355C" w:rsidRPr="0019355C">
        <w:t xml:space="preserve"> the Change Order Report</w:t>
      </w:r>
    </w:p>
    <w:p w:rsidR="0019355C" w:rsidRDefault="0019355C" w:rsidP="00C95B36">
      <w:pPr>
        <w:pStyle w:val="ListParagraph"/>
        <w:numPr>
          <w:ilvl w:val="0"/>
          <w:numId w:val="5"/>
        </w:numPr>
      </w:pPr>
      <w:r>
        <w:t xml:space="preserve">Start </w:t>
      </w:r>
      <w:r w:rsidR="00D91AB1">
        <w:t xml:space="preserve">Cognos </w:t>
      </w:r>
      <w:r>
        <w:t>on your computer.</w:t>
      </w:r>
      <w:r w:rsidR="00C95B36">
        <w:br/>
      </w:r>
    </w:p>
    <w:p w:rsidR="0019355C" w:rsidRDefault="0019355C" w:rsidP="00C95B36">
      <w:pPr>
        <w:pStyle w:val="ListParagraph"/>
        <w:numPr>
          <w:ilvl w:val="0"/>
          <w:numId w:val="5"/>
        </w:numPr>
      </w:pPr>
      <w:r>
        <w:t>Navigate to the Public Folders.  From there, select SiteManager Reporting.</w:t>
      </w:r>
      <w:r w:rsidR="00C95B36">
        <w:br/>
      </w:r>
      <w:r w:rsidR="00E1228D">
        <w:rPr>
          <w:noProof/>
        </w:rPr>
        <w:drawing>
          <wp:inline distT="0" distB="0" distL="0" distR="0" wp14:anchorId="795E6409" wp14:editId="49864A3D">
            <wp:extent cx="4565650" cy="215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815" cy="216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49F">
        <w:br/>
      </w:r>
    </w:p>
    <w:p w:rsidR="0017449F" w:rsidRDefault="0017449F" w:rsidP="0017449F">
      <w:pPr>
        <w:pStyle w:val="ListParagraph"/>
        <w:numPr>
          <w:ilvl w:val="0"/>
          <w:numId w:val="5"/>
        </w:numPr>
      </w:pPr>
      <w:r>
        <w:lastRenderedPageBreak/>
        <w:t>Open the Headquarters folder</w:t>
      </w:r>
      <w:r w:rsidR="00B508FE">
        <w:t xml:space="preserve">, then </w:t>
      </w:r>
      <w:r>
        <w:t>select the Contract - Change Order folder.</w:t>
      </w:r>
      <w:r>
        <w:br/>
      </w:r>
      <w:r w:rsidR="00E1228D">
        <w:rPr>
          <w:noProof/>
        </w:rPr>
        <w:drawing>
          <wp:inline distT="0" distB="0" distL="0" distR="0" wp14:anchorId="4A1D85E7" wp14:editId="3DE9723A">
            <wp:extent cx="4362450" cy="16704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7324" cy="167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927">
        <w:br/>
      </w:r>
      <w:r>
        <w:br/>
      </w:r>
    </w:p>
    <w:p w:rsidR="0017449F" w:rsidRDefault="0017449F" w:rsidP="0017449F">
      <w:pPr>
        <w:pStyle w:val="ListParagraph"/>
        <w:numPr>
          <w:ilvl w:val="0"/>
          <w:numId w:val="5"/>
        </w:numPr>
      </w:pPr>
      <w:r>
        <w:t xml:space="preserve">Select the appropriate change order report.  </w:t>
      </w:r>
      <w:r>
        <w:br/>
      </w:r>
      <w:r w:rsidR="00E1228D">
        <w:rPr>
          <w:noProof/>
        </w:rPr>
        <w:drawing>
          <wp:inline distT="0" distB="0" distL="0" distR="0" wp14:anchorId="57FCEFD3" wp14:editId="37FF487D">
            <wp:extent cx="4362450" cy="2411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6986" cy="241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927">
        <w:br/>
      </w:r>
      <w:r w:rsidR="00552927">
        <w:br/>
      </w:r>
    </w:p>
    <w:p w:rsidR="00552927" w:rsidRDefault="0017449F" w:rsidP="00552927">
      <w:pPr>
        <w:pStyle w:val="ListParagraph"/>
        <w:numPr>
          <w:ilvl w:val="0"/>
          <w:numId w:val="5"/>
        </w:numPr>
      </w:pPr>
      <w:r>
        <w:t xml:space="preserve">When the report opens, you will be prompted for </w:t>
      </w:r>
      <w:r w:rsidR="00126115">
        <w:t xml:space="preserve">specific </w:t>
      </w:r>
      <w:r w:rsidR="00552927">
        <w:t xml:space="preserve">information.  The “Official MoDOT Change Order” prompt boxes are shown in this example.  Information required may be different for the </w:t>
      </w:r>
      <w:r w:rsidR="00126115">
        <w:t xml:space="preserve">other </w:t>
      </w:r>
      <w:r w:rsidR="00552927">
        <w:t xml:space="preserve">types of change order reports.  </w:t>
      </w:r>
      <w:r w:rsidR="00552927">
        <w:br/>
      </w:r>
      <w:r w:rsidR="00552927">
        <w:rPr>
          <w:noProof/>
        </w:rPr>
        <w:drawing>
          <wp:inline distT="0" distB="0" distL="0" distR="0">
            <wp:extent cx="4603750" cy="2227183"/>
            <wp:effectExtent l="19050" t="0" r="6350" b="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22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927">
        <w:br/>
      </w:r>
    </w:p>
    <w:p w:rsidR="00552927" w:rsidRDefault="00552927" w:rsidP="00552927">
      <w:pPr>
        <w:pStyle w:val="ListParagraph"/>
        <w:numPr>
          <w:ilvl w:val="0"/>
          <w:numId w:val="5"/>
        </w:numPr>
      </w:pPr>
      <w:r>
        <w:lastRenderedPageBreak/>
        <w:t xml:space="preserve">All prompts are required.  Information must be </w:t>
      </w:r>
      <w:r w:rsidR="00076524">
        <w:t xml:space="preserve">entered </w:t>
      </w:r>
      <w:r>
        <w:t xml:space="preserve">exactly as it appears in </w:t>
      </w:r>
      <w:r w:rsidR="00244F64">
        <w:t>the system</w:t>
      </w:r>
      <w:r>
        <w:t xml:space="preserve">.  </w:t>
      </w:r>
      <w:r w:rsidRPr="00076524">
        <w:rPr>
          <w:bCs/>
        </w:rPr>
        <w:t>For e</w:t>
      </w:r>
      <w:r w:rsidR="00076524">
        <w:rPr>
          <w:bCs/>
        </w:rPr>
        <w:t>x</w:t>
      </w:r>
      <w:r w:rsidRPr="00076524">
        <w:rPr>
          <w:bCs/>
        </w:rPr>
        <w:t>ample</w:t>
      </w:r>
      <w:r w:rsidR="00076524">
        <w:rPr>
          <w:bCs/>
        </w:rPr>
        <w:t xml:space="preserve">, </w:t>
      </w:r>
      <w:r>
        <w:t xml:space="preserve">Change Order 1 </w:t>
      </w:r>
      <w:r w:rsidR="00076524">
        <w:t>must be entered as “</w:t>
      </w:r>
      <w:r>
        <w:t>001</w:t>
      </w:r>
      <w:r w:rsidR="00076524">
        <w:t>”.</w:t>
      </w:r>
      <w:r w:rsidR="00076524">
        <w:br/>
      </w:r>
    </w:p>
    <w:p w:rsidR="006B3636" w:rsidRDefault="00076524" w:rsidP="006B3636">
      <w:pPr>
        <w:pStyle w:val="ListParagraph"/>
        <w:numPr>
          <w:ilvl w:val="0"/>
          <w:numId w:val="5"/>
        </w:numPr>
      </w:pPr>
      <w:r>
        <w:t>Select the “Finish” button to generate the report.</w:t>
      </w:r>
      <w:r w:rsidR="006B3636">
        <w:br/>
      </w:r>
    </w:p>
    <w:p w:rsidR="00D86F3A" w:rsidRPr="00D86F3A" w:rsidRDefault="00D86F3A" w:rsidP="00CD58D9">
      <w:pPr>
        <w:pStyle w:val="Heading1"/>
      </w:pPr>
      <w:r w:rsidRPr="00D86F3A">
        <w:t xml:space="preserve">Saving </w:t>
      </w:r>
      <w:r w:rsidR="00FB5EB3">
        <w:t>the</w:t>
      </w:r>
      <w:r w:rsidRPr="00D86F3A">
        <w:t xml:space="preserve"> </w:t>
      </w:r>
      <w:r w:rsidR="001F2AB8">
        <w:t>Change Order</w:t>
      </w:r>
      <w:r w:rsidR="00FB5EB3">
        <w:t xml:space="preserve"> Report</w:t>
      </w:r>
    </w:p>
    <w:p w:rsidR="00B508FE" w:rsidRDefault="00244F64" w:rsidP="003A11A1">
      <w:r>
        <w:t>SM</w:t>
      </w:r>
      <w:r w:rsidR="00D86F3A" w:rsidRPr="00D86F3A">
        <w:t xml:space="preserve"> updates the header information each time </w:t>
      </w:r>
      <w:r w:rsidR="00FB5EB3">
        <w:t>a change order</w:t>
      </w:r>
      <w:r w:rsidR="00D86F3A" w:rsidRPr="00D86F3A">
        <w:t xml:space="preserve"> is </w:t>
      </w:r>
      <w:r w:rsidR="00DF2E9A">
        <w:t>generated</w:t>
      </w:r>
      <w:r w:rsidR="00D86F3A" w:rsidRPr="00D86F3A">
        <w:t xml:space="preserve">.  </w:t>
      </w:r>
      <w:r w:rsidR="001F2AB8">
        <w:t>Therefore,</w:t>
      </w:r>
      <w:r w:rsidR="00D86F3A" w:rsidRPr="00D86F3A">
        <w:t xml:space="preserve"> you </w:t>
      </w:r>
      <w:r w:rsidR="00D86F3A" w:rsidRPr="00D86F3A">
        <w:rPr>
          <w:b/>
          <w:bCs/>
        </w:rPr>
        <w:t xml:space="preserve">must </w:t>
      </w:r>
      <w:r w:rsidR="00D86F3A" w:rsidRPr="001F2AB8">
        <w:rPr>
          <w:bCs/>
        </w:rPr>
        <w:t xml:space="preserve">save the report </w:t>
      </w:r>
      <w:r w:rsidR="001F2AB8">
        <w:t>so the</w:t>
      </w:r>
      <w:r w:rsidR="00D86F3A" w:rsidRPr="00D86F3A">
        <w:t xml:space="preserve"> header will correctly reflect the contract information at the time of the report</w:t>
      </w:r>
      <w:r w:rsidR="001F2AB8">
        <w:t xml:space="preserve"> was created.</w:t>
      </w:r>
      <w:r w:rsidR="00D827F9">
        <w:t xml:space="preserve">  </w:t>
      </w:r>
    </w:p>
    <w:p w:rsidR="006D10C7" w:rsidRDefault="00875F54" w:rsidP="003A11A1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771525</wp:posOffset>
                </wp:positionV>
                <wp:extent cx="3637280" cy="1219835"/>
                <wp:effectExtent l="7620" t="9525" r="1270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B1" w:rsidRDefault="00D91A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158BA" wp14:editId="1BD5D1D1">
                                  <wp:extent cx="3444875" cy="1095942"/>
                                  <wp:effectExtent l="19050" t="0" r="3175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1095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1pt;margin-top:60.75pt;width:286.4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">
                <v:textbox>
                  <w:txbxContent>
                    <w:p w:rsidR="00D91AB1" w:rsidRDefault="00D91AB1">
                      <w:r>
                        <w:rPr>
                          <w:noProof/>
                        </w:rPr>
                        <w:drawing>
                          <wp:inline distT="0" distB="0" distL="0" distR="0" wp14:anchorId="6FA158BA" wp14:editId="1BD5D1D1">
                            <wp:extent cx="3444875" cy="1095942"/>
                            <wp:effectExtent l="19050" t="0" r="3175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1095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6F3A" w:rsidRPr="00D86F3A">
        <w:rPr>
          <w:b/>
          <w:bCs/>
          <w:u w:val="single"/>
        </w:rPr>
        <w:t>Policy:</w:t>
      </w:r>
      <w:r w:rsidR="00D86F3A" w:rsidRPr="00D86F3A">
        <w:t xml:space="preserve">  </w:t>
      </w:r>
      <w:r w:rsidR="00FB5EB3">
        <w:t>C</w:t>
      </w:r>
      <w:r w:rsidR="00B15280">
        <w:t>hange orders</w:t>
      </w:r>
      <w:r w:rsidR="00FB5EB3">
        <w:t xml:space="preserve"> shall be saved</w:t>
      </w:r>
      <w:r w:rsidR="00D86F3A" w:rsidRPr="00D86F3A">
        <w:t xml:space="preserve"> </w:t>
      </w:r>
      <w:r w:rsidR="00E94F88">
        <w:t>in .PDF format to</w:t>
      </w:r>
      <w:r w:rsidR="00D86F3A" w:rsidRPr="00D86F3A">
        <w:t xml:space="preserve"> the V: drive in the following path for your district</w:t>
      </w:r>
      <w:r w:rsidR="00E94F88">
        <w:t xml:space="preserve"> and org code: </w:t>
      </w:r>
      <w:r w:rsidR="00D86F3A" w:rsidRPr="00D86F3A">
        <w:t xml:space="preserve"> </w:t>
      </w:r>
      <w:r w:rsidR="00D86F3A" w:rsidRPr="00D86F3A">
        <w:rPr>
          <w:b/>
          <w:bCs/>
        </w:rPr>
        <w:t>V:\Contract Information Archive\</w:t>
      </w:r>
      <w:r w:rsidR="00D86F3A" w:rsidRPr="00B15280">
        <w:rPr>
          <w:b/>
          <w:bCs/>
          <w:iCs/>
        </w:rPr>
        <w:t xml:space="preserve">District  # </w:t>
      </w:r>
      <w:r w:rsidR="00D86F3A" w:rsidRPr="00B15280">
        <w:rPr>
          <w:b/>
          <w:bCs/>
        </w:rPr>
        <w:t xml:space="preserve">\ </w:t>
      </w:r>
      <w:r w:rsidR="00D86F3A" w:rsidRPr="00B15280">
        <w:rPr>
          <w:b/>
          <w:bCs/>
          <w:iCs/>
        </w:rPr>
        <w:t xml:space="preserve">ORG # </w:t>
      </w:r>
      <w:r w:rsidR="00D86F3A" w:rsidRPr="00B15280">
        <w:rPr>
          <w:b/>
          <w:bCs/>
        </w:rPr>
        <w:t>\</w:t>
      </w:r>
      <w:r w:rsidR="00D86F3A" w:rsidRPr="00B15280">
        <w:rPr>
          <w:b/>
          <w:bCs/>
          <w:iCs/>
        </w:rPr>
        <w:t xml:space="preserve"> Contract </w:t>
      </w:r>
      <w:r w:rsidR="00B15280" w:rsidRPr="00B15280">
        <w:rPr>
          <w:b/>
          <w:bCs/>
          <w:iCs/>
        </w:rPr>
        <w:t>ID</w:t>
      </w:r>
      <w:r w:rsidR="00B15280">
        <w:rPr>
          <w:b/>
          <w:bCs/>
        </w:rPr>
        <w:t xml:space="preserve"> \Change Orders</w:t>
      </w:r>
      <w:r w:rsidR="00D86F3A" w:rsidRPr="00D86F3A">
        <w:rPr>
          <w:b/>
          <w:bCs/>
        </w:rPr>
        <w:t>\</w:t>
      </w:r>
      <w:r w:rsidR="00B15280">
        <w:rPr>
          <w:b/>
          <w:bCs/>
        </w:rPr>
        <w:t>Pending</w:t>
      </w:r>
      <w:r w:rsidR="00D86F3A" w:rsidRPr="00D86F3A">
        <w:t xml:space="preserve">.  </w:t>
      </w:r>
      <w:r w:rsidR="00727C70">
        <w:t xml:space="preserve">(See Note below.)  </w:t>
      </w:r>
      <w:r w:rsidR="007E0CB7">
        <w:t>File name should</w:t>
      </w:r>
      <w:r w:rsidR="00D86F3A" w:rsidRPr="00D86F3A">
        <w:t xml:space="preserve"> include the change order number</w:t>
      </w:r>
      <w:r w:rsidR="006D10C7">
        <w:t xml:space="preserve"> placed within the file name so the change orders </w:t>
      </w:r>
      <w:r w:rsidR="00BB0247">
        <w:t xml:space="preserve">will </w:t>
      </w:r>
      <w:r w:rsidR="006D10C7">
        <w:t>sort properly when listed in the folder.  See example below:</w:t>
      </w:r>
      <w:r w:rsidR="00B15280">
        <w:t xml:space="preserve">  </w:t>
      </w:r>
    </w:p>
    <w:p w:rsidR="006D10C7" w:rsidRDefault="006D10C7" w:rsidP="003A11A1"/>
    <w:p w:rsidR="006D10C7" w:rsidRDefault="006D10C7" w:rsidP="003A11A1"/>
    <w:p w:rsidR="006D10C7" w:rsidRPr="00BB0247" w:rsidRDefault="006D10C7" w:rsidP="003A11A1">
      <w:pPr>
        <w:rPr>
          <w:b/>
        </w:rPr>
      </w:pPr>
    </w:p>
    <w:p w:rsidR="00BB0247" w:rsidRPr="00BB0247" w:rsidRDefault="00BB0247" w:rsidP="003A11A1">
      <w:pPr>
        <w:rPr>
          <w:b/>
        </w:rPr>
      </w:pPr>
    </w:p>
    <w:p w:rsidR="006B3636" w:rsidRDefault="006B3636" w:rsidP="003A11A1">
      <w:r>
        <w:t xml:space="preserve">Once the change order is saved, it should be sent as an attachment in an email to the contractor for signature.  </w:t>
      </w:r>
    </w:p>
    <w:p w:rsidR="00D86F3A" w:rsidRDefault="00B15280" w:rsidP="003A11A1">
      <w:r>
        <w:t xml:space="preserve">Once the change order has been approved at </w:t>
      </w:r>
      <w:r w:rsidRPr="00B15280">
        <w:rPr>
          <w:u w:val="single"/>
        </w:rPr>
        <w:t>all</w:t>
      </w:r>
      <w:r>
        <w:t xml:space="preserve"> levels, it shall be saved </w:t>
      </w:r>
      <w:r w:rsidRPr="00B15280">
        <w:rPr>
          <w:u w:val="single"/>
        </w:rPr>
        <w:t>with all attachments in a single file</w:t>
      </w:r>
      <w:r>
        <w:t xml:space="preserve"> to </w:t>
      </w:r>
      <w:r w:rsidRPr="00D86F3A">
        <w:rPr>
          <w:b/>
          <w:bCs/>
        </w:rPr>
        <w:t>V:\Contract Information Archive\</w:t>
      </w:r>
      <w:r w:rsidRPr="00B15280">
        <w:rPr>
          <w:b/>
          <w:bCs/>
          <w:iCs/>
        </w:rPr>
        <w:t xml:space="preserve">District  # </w:t>
      </w:r>
      <w:r w:rsidRPr="00B15280">
        <w:rPr>
          <w:b/>
          <w:bCs/>
        </w:rPr>
        <w:t xml:space="preserve">\ </w:t>
      </w:r>
      <w:r w:rsidRPr="00B15280">
        <w:rPr>
          <w:b/>
          <w:bCs/>
          <w:iCs/>
        </w:rPr>
        <w:t xml:space="preserve">ORG # </w:t>
      </w:r>
      <w:r w:rsidRPr="00B15280">
        <w:rPr>
          <w:b/>
          <w:bCs/>
        </w:rPr>
        <w:t>\</w:t>
      </w:r>
      <w:r w:rsidRPr="00B15280">
        <w:rPr>
          <w:b/>
          <w:bCs/>
          <w:iCs/>
        </w:rPr>
        <w:t xml:space="preserve"> Contract ID</w:t>
      </w:r>
      <w:r>
        <w:rPr>
          <w:b/>
          <w:bCs/>
        </w:rPr>
        <w:t xml:space="preserve"> \Change Orders</w:t>
      </w:r>
      <w:r w:rsidRPr="00D86F3A">
        <w:rPr>
          <w:b/>
          <w:bCs/>
        </w:rPr>
        <w:t>\</w:t>
      </w:r>
      <w:r>
        <w:rPr>
          <w:b/>
          <w:bCs/>
        </w:rPr>
        <w:t>Completed</w:t>
      </w:r>
      <w:r w:rsidRPr="00D86F3A">
        <w:t>.</w:t>
      </w:r>
    </w:p>
    <w:p w:rsidR="00B508FE" w:rsidRDefault="00727C70" w:rsidP="00B508FE">
      <w:pPr>
        <w:ind w:left="720" w:hanging="720"/>
      </w:pPr>
      <w:r w:rsidRPr="00727C70">
        <w:rPr>
          <w:b/>
        </w:rPr>
        <w:t>Note:</w:t>
      </w:r>
      <w:r>
        <w:tab/>
      </w:r>
      <w:r w:rsidR="00FD2631">
        <w:t xml:space="preserve">When distributing a change order </w:t>
      </w:r>
      <w:r w:rsidR="00FD2631" w:rsidRPr="00FD2631">
        <w:rPr>
          <w:u w:val="single"/>
        </w:rPr>
        <w:t>electronically for signature</w:t>
      </w:r>
      <w:r w:rsidR="00FD2631">
        <w:t>, it should be stored</w:t>
      </w:r>
      <w:r>
        <w:t xml:space="preserve"> with </w:t>
      </w:r>
      <w:r w:rsidR="006B3636">
        <w:t>appropriate</w:t>
      </w:r>
      <w:r>
        <w:t xml:space="preserve"> attachments in a single file</w:t>
      </w:r>
      <w:r w:rsidR="00FD2631">
        <w:t xml:space="preserve"> in the “Completed” change order folder and linked from there.  </w:t>
      </w:r>
      <w:r w:rsidR="006B3636">
        <w:t>(Attachments not normally sent to the contractor should be saved in the “Supporting Documents” folder.”</w:t>
      </w:r>
      <w:r w:rsidR="00E75F43">
        <w:t>)</w:t>
      </w:r>
      <w:r w:rsidR="006B3636">
        <w:t xml:space="preserve">  </w:t>
      </w:r>
      <w:r w:rsidR="00FD2631">
        <w:t xml:space="preserve">Once the last digital signature is applied, the process </w:t>
      </w:r>
      <w:r w:rsidR="00FD2631" w:rsidRPr="00FD2631">
        <w:t xml:space="preserve">is </w:t>
      </w:r>
      <w:r w:rsidR="00FD2631" w:rsidRPr="00FD2631">
        <w:rPr>
          <w:b/>
          <w:i/>
        </w:rPr>
        <w:t>complete</w:t>
      </w:r>
      <w:r>
        <w:rPr>
          <w:b/>
          <w:i/>
        </w:rPr>
        <w:t>.</w:t>
      </w:r>
      <w:r w:rsidR="00FD2631">
        <w:t> </w:t>
      </w:r>
      <w:r>
        <w:t xml:space="preserve"> N</w:t>
      </w:r>
      <w:r w:rsidR="00FD2631">
        <w:t xml:space="preserve">o further action is necessary on </w:t>
      </w:r>
      <w:r>
        <w:t>the part</w:t>
      </w:r>
      <w:r w:rsidR="00FD2631">
        <w:t xml:space="preserve"> of the project office, that is, there is no movement of the document from one folder to another.</w:t>
      </w:r>
      <w:r w:rsidR="00B508FE">
        <w:br/>
      </w:r>
    </w:p>
    <w:p w:rsidR="00FD2631" w:rsidRPr="00D86F3A" w:rsidRDefault="00FD2631" w:rsidP="003A11A1"/>
    <w:sectPr w:rsidR="00FD2631" w:rsidRPr="00D86F3A" w:rsidSect="000071FD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B1" w:rsidRDefault="00D91AB1" w:rsidP="00EC25EB">
      <w:pPr>
        <w:spacing w:after="0"/>
      </w:pPr>
      <w:r>
        <w:separator/>
      </w:r>
    </w:p>
  </w:endnote>
  <w:endnote w:type="continuationSeparator" w:id="0">
    <w:p w:rsidR="00D91AB1" w:rsidRDefault="00D91AB1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D91AB1" w:rsidRDefault="00D91AB1" w:rsidP="000071FD">
        <w:pPr>
          <w:pStyle w:val="Footer"/>
        </w:pPr>
        <w:r>
          <w:t xml:space="preserve">Change Order Reports (Revised </w:t>
        </w:r>
        <w:r w:rsidR="00E1228D">
          <w:t>11</w:t>
        </w:r>
        <w:r w:rsidR="00244F64">
          <w:t>/201</w:t>
        </w:r>
        <w:r w:rsidR="00C817DA">
          <w:t>3</w:t>
        </w:r>
        <w:r>
          <w:t>)</w:t>
        </w:r>
        <w:r>
          <w:tab/>
        </w:r>
        <w:r>
          <w:tab/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875F54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875F54">
          <w:rPr>
            <w:b/>
            <w:noProof/>
          </w:rPr>
          <w:t>3</w:t>
        </w:r>
        <w:r>
          <w:rPr>
            <w:b/>
          </w:rPr>
          <w:fldChar w:fldCharType="end"/>
        </w:r>
      </w:p>
    </w:sdtContent>
  </w:sdt>
  <w:p w:rsidR="00D91AB1" w:rsidRDefault="00D91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B1" w:rsidRDefault="00D91AB1" w:rsidP="00EC25EB">
      <w:pPr>
        <w:spacing w:after="0"/>
      </w:pPr>
      <w:r>
        <w:separator/>
      </w:r>
    </w:p>
  </w:footnote>
  <w:footnote w:type="continuationSeparator" w:id="0">
    <w:p w:rsidR="00D91AB1" w:rsidRDefault="00D91AB1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55C797E"/>
    <w:multiLevelType w:val="hybridMultilevel"/>
    <w:tmpl w:val="75DA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C6375"/>
    <w:multiLevelType w:val="hybridMultilevel"/>
    <w:tmpl w:val="75DA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0D05"/>
    <w:multiLevelType w:val="multilevel"/>
    <w:tmpl w:val="47EA62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635A1"/>
    <w:rsid w:val="00076524"/>
    <w:rsid w:val="000A54EF"/>
    <w:rsid w:val="000D0BB2"/>
    <w:rsid w:val="00126115"/>
    <w:rsid w:val="0017449F"/>
    <w:rsid w:val="0019355C"/>
    <w:rsid w:val="001A189F"/>
    <w:rsid w:val="001F2AB8"/>
    <w:rsid w:val="00207D47"/>
    <w:rsid w:val="00215C85"/>
    <w:rsid w:val="00230CAF"/>
    <w:rsid w:val="00244F64"/>
    <w:rsid w:val="002768F7"/>
    <w:rsid w:val="002C79A2"/>
    <w:rsid w:val="003329FA"/>
    <w:rsid w:val="0033660B"/>
    <w:rsid w:val="00367DE9"/>
    <w:rsid w:val="003A11A1"/>
    <w:rsid w:val="004339E6"/>
    <w:rsid w:val="004C7ECB"/>
    <w:rsid w:val="004F0A3F"/>
    <w:rsid w:val="00552927"/>
    <w:rsid w:val="0058139F"/>
    <w:rsid w:val="00611740"/>
    <w:rsid w:val="00646D42"/>
    <w:rsid w:val="00647C57"/>
    <w:rsid w:val="00654CF9"/>
    <w:rsid w:val="006664A2"/>
    <w:rsid w:val="00683F3A"/>
    <w:rsid w:val="006B3636"/>
    <w:rsid w:val="006D10C7"/>
    <w:rsid w:val="006F1DBE"/>
    <w:rsid w:val="0071211D"/>
    <w:rsid w:val="00727C70"/>
    <w:rsid w:val="00750003"/>
    <w:rsid w:val="00766409"/>
    <w:rsid w:val="00771887"/>
    <w:rsid w:val="0078677A"/>
    <w:rsid w:val="007E0CB7"/>
    <w:rsid w:val="0087144E"/>
    <w:rsid w:val="00875F54"/>
    <w:rsid w:val="008A27D1"/>
    <w:rsid w:val="008D0399"/>
    <w:rsid w:val="00912E28"/>
    <w:rsid w:val="009313E3"/>
    <w:rsid w:val="00967551"/>
    <w:rsid w:val="009D4A8E"/>
    <w:rsid w:val="009D7075"/>
    <w:rsid w:val="00A206B9"/>
    <w:rsid w:val="00A31B3E"/>
    <w:rsid w:val="00A769F7"/>
    <w:rsid w:val="00AE5696"/>
    <w:rsid w:val="00B05C71"/>
    <w:rsid w:val="00B15280"/>
    <w:rsid w:val="00B32AFD"/>
    <w:rsid w:val="00B508FE"/>
    <w:rsid w:val="00B70533"/>
    <w:rsid w:val="00BB0247"/>
    <w:rsid w:val="00C642FE"/>
    <w:rsid w:val="00C814D3"/>
    <w:rsid w:val="00C817DA"/>
    <w:rsid w:val="00C95B36"/>
    <w:rsid w:val="00CD58D9"/>
    <w:rsid w:val="00D62B00"/>
    <w:rsid w:val="00D827F9"/>
    <w:rsid w:val="00D86F3A"/>
    <w:rsid w:val="00D91AB1"/>
    <w:rsid w:val="00DF2E9A"/>
    <w:rsid w:val="00E1228D"/>
    <w:rsid w:val="00E13ED7"/>
    <w:rsid w:val="00E21DD1"/>
    <w:rsid w:val="00E7294E"/>
    <w:rsid w:val="00E75F43"/>
    <w:rsid w:val="00E94F88"/>
    <w:rsid w:val="00EA1D4D"/>
    <w:rsid w:val="00EA7A00"/>
    <w:rsid w:val="00EB360E"/>
    <w:rsid w:val="00EC25EB"/>
    <w:rsid w:val="00EE1A78"/>
    <w:rsid w:val="00F17D0C"/>
    <w:rsid w:val="00F2271E"/>
    <w:rsid w:val="00FA519A"/>
    <w:rsid w:val="00FB5EB3"/>
    <w:rsid w:val="00FC124C"/>
    <w:rsid w:val="00FC281B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355C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355C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26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355C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355C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2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566">
                      <w:marLeft w:val="1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8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9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2010-11-18T20:28:00Z</cp:lastPrinted>
  <dcterms:created xsi:type="dcterms:W3CDTF">2013-12-02T13:50:00Z</dcterms:created>
  <dcterms:modified xsi:type="dcterms:W3CDTF">2013-12-02T13:50:00Z</dcterms:modified>
</cp:coreProperties>
</file>